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7DC75" w14:textId="77777777" w:rsidR="00EA788B" w:rsidRPr="005C00CC" w:rsidRDefault="00EA788B" w:rsidP="00A129F0">
      <w:pPr>
        <w:ind w:left="0" w:hanging="2"/>
        <w:rPr>
          <w:rFonts w:eastAsia="Merriweather"/>
        </w:rPr>
      </w:pPr>
    </w:p>
    <w:p w14:paraId="2701497A" w14:textId="77777777" w:rsidR="004C2BF6" w:rsidRPr="00E80589" w:rsidRDefault="004C2BF6" w:rsidP="008C64C8">
      <w:pPr>
        <w:spacing w:after="57"/>
        <w:ind w:left="0" w:hanging="2"/>
        <w:jc w:val="center"/>
        <w:rPr>
          <w:b/>
          <w:sz w:val="22"/>
          <w:szCs w:val="22"/>
        </w:rPr>
      </w:pPr>
      <w:r w:rsidRPr="00E80589">
        <w:rPr>
          <w:b/>
          <w:sz w:val="22"/>
          <w:szCs w:val="22"/>
        </w:rPr>
        <w:t xml:space="preserve">MAPA DE RISCO </w:t>
      </w:r>
    </w:p>
    <w:p w14:paraId="776C970C" w14:textId="77777777" w:rsidR="004C2BF6" w:rsidRPr="00E80589" w:rsidRDefault="004C2BF6" w:rsidP="008C64C8">
      <w:pPr>
        <w:spacing w:after="57"/>
        <w:ind w:left="0" w:hanging="2"/>
        <w:jc w:val="center"/>
        <w:rPr>
          <w:b/>
          <w:sz w:val="22"/>
          <w:szCs w:val="22"/>
        </w:rPr>
      </w:pPr>
    </w:p>
    <w:p w14:paraId="1BEB9D60" w14:textId="77777777"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E80589" w14:paraId="7B9B0BAC" w14:textId="77777777" w:rsidTr="008F6EBA">
        <w:tc>
          <w:tcPr>
            <w:tcW w:w="15446" w:type="dxa"/>
            <w:vAlign w:val="center"/>
          </w:tcPr>
          <w:p w14:paraId="390122A6" w14:textId="77777777" w:rsidR="004C2BF6" w:rsidRPr="00C7235A" w:rsidRDefault="004C2BF6" w:rsidP="000019E4">
            <w:pPr>
              <w:spacing w:after="57" w:line="276" w:lineRule="auto"/>
              <w:ind w:leftChars="0" w:left="0" w:firstLineChars="0" w:firstLine="0"/>
              <w:rPr>
                <w:b/>
                <w:color w:val="000000" w:themeColor="text1"/>
                <w:sz w:val="22"/>
                <w:szCs w:val="22"/>
              </w:rPr>
            </w:pPr>
            <w:r w:rsidRPr="00C7235A">
              <w:rPr>
                <w:b/>
                <w:color w:val="000000" w:themeColor="text1"/>
                <w:sz w:val="22"/>
                <w:szCs w:val="22"/>
              </w:rPr>
              <w:t>Responsável pela Edição:</w:t>
            </w:r>
            <w:r w:rsidRPr="00C7235A">
              <w:rPr>
                <w:b/>
                <w:color w:val="000000" w:themeColor="text1"/>
              </w:rPr>
              <w:t xml:space="preserve"> </w:t>
            </w:r>
            <w:r w:rsidR="000019E4">
              <w:rPr>
                <w:b/>
                <w:color w:val="000000" w:themeColor="text1"/>
                <w:sz w:val="22"/>
                <w:szCs w:val="22"/>
              </w:rPr>
              <w:t xml:space="preserve">Alexandro </w:t>
            </w:r>
            <w:proofErr w:type="spellStart"/>
            <w:r w:rsidR="000019E4">
              <w:rPr>
                <w:b/>
                <w:color w:val="000000" w:themeColor="text1"/>
                <w:sz w:val="22"/>
                <w:szCs w:val="22"/>
              </w:rPr>
              <w:t>Beretta</w:t>
            </w:r>
            <w:proofErr w:type="spellEnd"/>
            <w:r w:rsidR="009A57C6" w:rsidRPr="00C7235A">
              <w:rPr>
                <w:b/>
                <w:color w:val="000000" w:themeColor="text1"/>
                <w:sz w:val="22"/>
                <w:szCs w:val="22"/>
              </w:rPr>
              <w:t xml:space="preserve"> </w:t>
            </w:r>
          </w:p>
        </w:tc>
      </w:tr>
      <w:tr w:rsidR="004C2BF6" w:rsidRPr="00E80589" w14:paraId="73FCF15A" w14:textId="77777777" w:rsidTr="008F6EBA">
        <w:tc>
          <w:tcPr>
            <w:tcW w:w="15446" w:type="dxa"/>
            <w:vAlign w:val="center"/>
          </w:tcPr>
          <w:p w14:paraId="061BCFBB" w14:textId="4A38E6A0" w:rsidR="004C2BF6" w:rsidRPr="00075F1D" w:rsidRDefault="004C2BF6" w:rsidP="000019E4">
            <w:pPr>
              <w:spacing w:after="57" w:line="276" w:lineRule="auto"/>
              <w:ind w:leftChars="0" w:left="0" w:firstLineChars="0" w:firstLine="0"/>
              <w:rPr>
                <w:color w:val="000000" w:themeColor="text1"/>
                <w:sz w:val="22"/>
                <w:szCs w:val="22"/>
              </w:rPr>
            </w:pPr>
            <w:r w:rsidRPr="00075F1D">
              <w:rPr>
                <w:color w:val="000000" w:themeColor="text1"/>
                <w:sz w:val="22"/>
                <w:szCs w:val="22"/>
              </w:rPr>
              <w:t>Data de Criação:</w:t>
            </w:r>
            <w:r w:rsidR="004F0FF8">
              <w:rPr>
                <w:color w:val="000000" w:themeColor="text1"/>
                <w:sz w:val="22"/>
                <w:szCs w:val="22"/>
              </w:rPr>
              <w:t xml:space="preserve"> </w:t>
            </w:r>
            <w:r w:rsidR="00DD466D">
              <w:rPr>
                <w:color w:val="000000" w:themeColor="text1"/>
                <w:sz w:val="22"/>
                <w:szCs w:val="22"/>
              </w:rPr>
              <w:t>22 de novembro de 2024</w:t>
            </w:r>
          </w:p>
        </w:tc>
      </w:tr>
      <w:tr w:rsidR="004C2BF6" w:rsidRPr="00E80589" w14:paraId="7F71FD18" w14:textId="77777777" w:rsidTr="008F6EBA">
        <w:tc>
          <w:tcPr>
            <w:tcW w:w="15446" w:type="dxa"/>
            <w:vAlign w:val="center"/>
          </w:tcPr>
          <w:p w14:paraId="49C40148" w14:textId="77D6A286" w:rsidR="004C2BF6" w:rsidRPr="008F6EBA" w:rsidRDefault="004C2BF6" w:rsidP="004F0FF8">
            <w:pPr>
              <w:spacing w:after="57" w:line="276" w:lineRule="auto"/>
              <w:ind w:leftChars="0" w:left="0" w:firstLineChars="0" w:firstLine="0"/>
              <w:jc w:val="both"/>
              <w:rPr>
                <w:color w:val="000000" w:themeColor="text1"/>
                <w:sz w:val="22"/>
                <w:szCs w:val="22"/>
              </w:rPr>
            </w:pPr>
            <w:r w:rsidRPr="00C7235A">
              <w:rPr>
                <w:b/>
                <w:color w:val="000000" w:themeColor="text1"/>
                <w:sz w:val="22"/>
                <w:szCs w:val="22"/>
              </w:rPr>
              <w:t>Objeto da Matriz de Riscos:</w:t>
            </w:r>
            <w:r w:rsidRPr="008F6EBA">
              <w:rPr>
                <w:color w:val="000000" w:themeColor="text1"/>
                <w:sz w:val="22"/>
                <w:szCs w:val="22"/>
              </w:rPr>
              <w:t xml:space="preserve"> </w:t>
            </w:r>
            <w:r w:rsidR="004F0FF8">
              <w:rPr>
                <w:rFonts w:eastAsia="Merriweather"/>
                <w:color w:val="000000" w:themeColor="text1"/>
                <w:sz w:val="22"/>
                <w:szCs w:val="22"/>
              </w:rPr>
              <w:t xml:space="preserve"> </w:t>
            </w:r>
            <w:r w:rsidR="00DD466D">
              <w:rPr>
                <w:sz w:val="22"/>
              </w:rPr>
              <w:t>CONTRATAÇÃO DE PESSOA JURÍDICA PARA PRESTAÇÃO DE SERVIÇO DE RECARGA DE CARTUCHOS DE TONER PARA IMPRESSORAS E MULTIFUNCIONAIS SOB USO DAS DIVERSAS SECRETARIAS DO MUNICÍPIO DE BANDEIRANTES-PR</w:t>
            </w:r>
          </w:p>
        </w:tc>
      </w:tr>
    </w:tbl>
    <w:p w14:paraId="53078F08" w14:textId="77777777"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4C2BF6" w14:paraId="091B13EC" w14:textId="77777777" w:rsidTr="008F6EBA">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715E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7EE0EDC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160ECC7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14:paraId="50C72E6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14:paraId="044CD7B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14:paraId="12FCC30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14:paraId="05D2AFD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7EAFE1A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14:paraId="3C71BA9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7210C9D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r>
      <w:tr w:rsidR="004C2BF6" w:rsidRPr="004C2BF6" w14:paraId="433BCB10"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ED7F2D0" w14:textId="77777777" w:rsidR="004C2BF6" w:rsidRPr="004C2BF6" w:rsidRDefault="004C2BF6" w:rsidP="004F1234">
            <w:pPr>
              <w:ind w:left="0" w:hanging="2"/>
              <w:rPr>
                <w:rFonts w:ascii="Calibri" w:hAnsi="Calibri"/>
                <w:color w:val="000000"/>
                <w:position w:val="0"/>
                <w:sz w:val="18"/>
                <w:szCs w:val="18"/>
              </w:rPr>
            </w:pPr>
            <w:r w:rsidRPr="004C2BF6">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14:paraId="6D8B0A9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A22854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14:paraId="696075D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496CDD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14:paraId="1864A00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75C195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14:paraId="5344EE8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1680902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C2BF6">
              <w:rPr>
                <w:rFonts w:ascii="Calibri" w:hAnsi="Calibri"/>
                <w:color w:val="000000"/>
                <w:position w:val="0"/>
                <w:sz w:val="18"/>
                <w:szCs w:val="18"/>
              </w:rPr>
              <w:t>à</w:t>
            </w:r>
            <w:r w:rsidRPr="004C2BF6">
              <w:rPr>
                <w:rFonts w:ascii="Calibri" w:hAnsi="Calibri"/>
                <w:color w:val="000000"/>
                <w:position w:val="0"/>
                <w:sz w:val="18"/>
                <w:szCs w:val="18"/>
              </w:rPr>
              <w:t xml:space="preserve"> necessidade que </w:t>
            </w:r>
            <w:r w:rsidR="008F6EBA" w:rsidRPr="004C2BF6">
              <w:rPr>
                <w:rFonts w:ascii="Calibri" w:hAnsi="Calibri"/>
                <w:color w:val="000000"/>
                <w:position w:val="0"/>
                <w:sz w:val="18"/>
                <w:szCs w:val="18"/>
              </w:rPr>
              <w:t>este contenha</w:t>
            </w:r>
            <w:r w:rsidRPr="004C2BF6">
              <w:rPr>
                <w:rFonts w:ascii="Calibri" w:hAnsi="Calibri"/>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14:paraId="5D272ED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12D0C18D"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7E9F50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14:paraId="156B2EE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BF2D6F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14:paraId="3E2E92E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BC6B6C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14:paraId="315FE59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46F782C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Requisitante deve ser a autora do Documento de Formalização da Demanda (DFD); Identificar corretamente os setores responsáveis; Verificar corretamente a </w:t>
            </w:r>
            <w:r w:rsidR="008F6EBA" w:rsidRPr="004C2BF6">
              <w:rPr>
                <w:rFonts w:ascii="Calibri" w:hAnsi="Calibri"/>
                <w:color w:val="000000"/>
                <w:position w:val="0"/>
                <w:sz w:val="18"/>
                <w:szCs w:val="18"/>
              </w:rPr>
              <w:t>demanda.</w:t>
            </w:r>
            <w:r w:rsidRPr="004C2BF6">
              <w:rPr>
                <w:rFonts w:ascii="Calibri" w:hAnsi="Calibri"/>
                <w:color w:val="000000"/>
                <w:position w:val="0"/>
                <w:sz w:val="18"/>
                <w:szCs w:val="18"/>
              </w:rPr>
              <w:t xml:space="preserve"> </w:t>
            </w:r>
            <w:r w:rsidR="008F6EBA" w:rsidRPr="004C2BF6">
              <w:rPr>
                <w:rFonts w:ascii="Calibri" w:hAnsi="Calibri"/>
                <w:color w:val="000000"/>
                <w:position w:val="0"/>
                <w:sz w:val="18"/>
                <w:szCs w:val="18"/>
              </w:rPr>
              <w:t>Envolver</w:t>
            </w:r>
            <w:r w:rsidRPr="004C2BF6">
              <w:rPr>
                <w:rFonts w:ascii="Calibri" w:hAnsi="Calibri"/>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14:paraId="206123F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49ACED5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14:paraId="0A19975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5BD23477"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D9DEDE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14:paraId="5EBB984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DCE611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14:paraId="516EB1A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EA128E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27AB27B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6C1EA23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14:paraId="6E420DE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771CC69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14:paraId="25FC519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AUTORIDADE COMPETENTE; EQUIPE DE PLANEJAMENTO </w:t>
            </w:r>
          </w:p>
        </w:tc>
      </w:tr>
      <w:tr w:rsidR="004C2BF6" w:rsidRPr="004C2BF6" w14:paraId="5C9AB13C"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A339EA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14:paraId="195B772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4F76D0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14:paraId="031FBA6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33E049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2D42D72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784573F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14:paraId="1B7DF74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4A8391F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4C2BF6">
              <w:rPr>
                <w:rFonts w:ascii="Calibri" w:hAnsi="Calibri"/>
                <w:color w:val="000000"/>
                <w:position w:val="0"/>
                <w:sz w:val="18"/>
                <w:szCs w:val="18"/>
              </w:rPr>
              <w:t>fiscal que</w:t>
            </w:r>
            <w:r w:rsidRPr="004C2BF6">
              <w:rPr>
                <w:rFonts w:ascii="Calibri" w:hAnsi="Calibri"/>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14:paraId="3484902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 EQUIPE DE PLANEJAMENTO</w:t>
            </w:r>
          </w:p>
        </w:tc>
      </w:tr>
      <w:tr w:rsidR="004C2BF6" w:rsidRPr="004C2BF6" w14:paraId="0E922A3E"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58E23D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14:paraId="2900B45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B121B0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14:paraId="20A4D88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F148BB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0240B3F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743CA8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14:paraId="4EBDED7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74CF80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14:paraId="0ED4A38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400B9190"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86B48D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14:paraId="66D6426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4BE9B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14:paraId="5F72738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4C6D43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14:paraId="1AC90BF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2DDCDA7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14:paraId="0CB6225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424FF09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14:paraId="0FCCD4C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66C014E4" w14:textId="77777777" w:rsidTr="008F6EBA">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6DC0ECB"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14:paraId="13302E2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A68698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14:paraId="52A589E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33A85AA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14:paraId="5CAA9C8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1844859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14:paraId="17C4FC4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B0FA34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21F8F44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w:t>
            </w:r>
          </w:p>
        </w:tc>
      </w:tr>
      <w:tr w:rsidR="004C2BF6" w:rsidRPr="004C2BF6" w14:paraId="78F573EC"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1EE6B82"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14:paraId="629F3DA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20D315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14:paraId="1F2BCD1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E680BC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14:paraId="2898A70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034BF02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14:paraId="1348449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67BE81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ou revalidar a pesquisa de mercado; Refazer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14:paraId="6A84852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74DF864F"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B6D128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14:paraId="226BBCC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A34DC2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14:paraId="78EEAC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74FCBF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4B5043D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6147F7E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checklist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14:paraId="20FE66D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5ABBD44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14:paraId="72CB1B3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8F6EBA" w:rsidRPr="008F6EBA" w14:paraId="38F06AB3"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E307E9C"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14:paraId="6575EE8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84C924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14:paraId="2C9564F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A4F659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14:paraId="52F865F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E6C52A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w:t>
            </w:r>
            <w:r w:rsidRPr="008F6EBA">
              <w:rPr>
                <w:rFonts w:ascii="Calibri" w:hAnsi="Calibri"/>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14:paraId="3CAAB02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B355EF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4989723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103BBF2F"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A3A1503"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14:paraId="214518F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2DA8A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14:paraId="45125FD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CF40F86"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14:paraId="6A04860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4A95DE2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14:paraId="72787FC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13CB71B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14:paraId="7ED6C47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5B09442F"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F22192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14:paraId="3A2BFE6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4CAA9D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14:paraId="2DE1F4A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073347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6EB14B0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2297CDB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14:paraId="34BBC9A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3342C9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14:paraId="23A0632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1BB14BC8"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D89979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13</w:t>
            </w:r>
          </w:p>
        </w:tc>
        <w:tc>
          <w:tcPr>
            <w:tcW w:w="1359" w:type="dxa"/>
            <w:tcBorders>
              <w:top w:val="nil"/>
              <w:left w:val="nil"/>
              <w:bottom w:val="single" w:sz="4" w:space="0" w:color="auto"/>
              <w:right w:val="single" w:sz="4" w:space="0" w:color="auto"/>
            </w:tcBorders>
            <w:shd w:val="clear" w:color="auto" w:fill="auto"/>
            <w:vAlign w:val="center"/>
            <w:hideMark/>
          </w:tcPr>
          <w:p w14:paraId="72885D0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464EC9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14:paraId="5ED4649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524070B"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14:paraId="222EF31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7E304E6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14:paraId="1E3CED8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272518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14:paraId="16AD917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8F6EBA" w:rsidRPr="008F6EBA" w14:paraId="1F014AAB"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BB5062E"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14:paraId="6ABAFA5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222972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240E5C5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5F9118D" w14:textId="77777777" w:rsidR="004C2BF6" w:rsidRPr="008F6EBA"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14:paraId="4F2344E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7176DB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14:paraId="78D8115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41E21FB"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14:paraId="630A58E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6F774457"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F9A572B"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14:paraId="2F0EC65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4DAE60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3CB72A6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9E384E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14:paraId="086F05B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263BD96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14:paraId="610F678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702B71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2E362D5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4C2BF6" w:rsidRPr="004C2BF6" w14:paraId="0CE8E568" w14:textId="77777777" w:rsidTr="008F6EBA">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D85AB9A"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14:paraId="1C14FF4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C92E3F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14:paraId="5A40875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8961F1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14:paraId="32340F4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1239C5D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14:paraId="4D66CC4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BB7821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4A07162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 REQUISITANTE DA DEMANDA; AUTORIDADE COMPETENTE</w:t>
            </w:r>
          </w:p>
        </w:tc>
      </w:tr>
      <w:tr w:rsidR="004C2BF6" w:rsidRPr="004C2BF6" w14:paraId="5E7B1FE6"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DB56C1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17</w:t>
            </w:r>
          </w:p>
        </w:tc>
        <w:tc>
          <w:tcPr>
            <w:tcW w:w="1359" w:type="dxa"/>
            <w:tcBorders>
              <w:top w:val="nil"/>
              <w:left w:val="nil"/>
              <w:bottom w:val="single" w:sz="4" w:space="0" w:color="auto"/>
              <w:right w:val="single" w:sz="4" w:space="0" w:color="auto"/>
            </w:tcBorders>
            <w:shd w:val="clear" w:color="auto" w:fill="auto"/>
            <w:vAlign w:val="center"/>
            <w:hideMark/>
          </w:tcPr>
          <w:p w14:paraId="1400C01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BD6175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5F4AF89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A2EABE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4B8616A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7220256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14:paraId="5647388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05518784"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 xml:space="preserve">Readequação do edital com retirada </w:t>
            </w:r>
            <w:r w:rsidR="004C2BF6" w:rsidRPr="004C2BF6">
              <w:rPr>
                <w:rFonts w:ascii="Calibri" w:hAnsi="Calibri"/>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14:paraId="23C883F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40D285E0"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483A8DA"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14:paraId="39F1750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F248D5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384E90E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91AC3F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14:paraId="52DCBBD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791EEA2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14:paraId="320A3CE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4DCF364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14:paraId="2161D26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321134C1"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766B9E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14:paraId="6AF63FA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3F51C7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14:paraId="6D512A8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DD9C3E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14:paraId="063D51C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797634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46DB28D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60B9DD9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Atuar com celeridade nas respostas aos questionamentos efetuados; 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14:paraId="55762FB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4C2BF6" w:rsidRPr="004C2BF6" w14:paraId="375086BF"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921AF92" w14:textId="77777777" w:rsidR="004C2BF6" w:rsidRPr="004C2BF6" w:rsidRDefault="008F6EBA" w:rsidP="008F6EBA">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hideMark/>
          </w:tcPr>
          <w:p w14:paraId="7C595D9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0B69274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14:paraId="5C13AC9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9D0539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482315E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50B2CBD"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Verificação na fase de habilitação certame que o fornecedor reúne todos os requisitos </w:t>
            </w:r>
            <w:r w:rsidR="008F6EBA">
              <w:rPr>
                <w:rFonts w:ascii="Calibri" w:hAnsi="Calibri"/>
                <w:color w:val="000000"/>
                <w:position w:val="0"/>
                <w:sz w:val="18"/>
                <w:szCs w:val="18"/>
              </w:rPr>
              <w:t>de habilitação</w:t>
            </w:r>
            <w:r w:rsidRPr="004C2BF6">
              <w:rPr>
                <w:rFonts w:ascii="Calibri" w:hAnsi="Calibri"/>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14:paraId="18BFF38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16EE439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14:paraId="4DA468A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6F2D885F"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74E1552" w14:textId="77777777" w:rsidR="004C2BF6" w:rsidRPr="004C2BF6"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14:paraId="7994ACA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57B04F8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14:paraId="21E86F6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D07599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4E053AD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39AF387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14:paraId="1216692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00CCC5E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14:paraId="4AD1D6E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8F6EBA" w:rsidRPr="008F6EBA" w14:paraId="6F7654B8" w14:textId="77777777" w:rsidTr="008F6EBA">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0D59BDF"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14:paraId="5DC9A17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1B450C55"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14:paraId="42F6DD2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138E73C4"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14:paraId="5AFBD6D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0A6D7EC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25A634A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14:paraId="743E844A"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14:paraId="1D660FB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65527E9F"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99D043E"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14:paraId="07B8797F"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4B19AEB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14:paraId="33516BF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5A6C9E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14:paraId="7A9B8198"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3AC7A1A6"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179139D8"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3964D375"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14:paraId="6C110DF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6E4C9C3C" w14:textId="77777777" w:rsidTr="008F6EBA">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8D08031"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lastRenderedPageBreak/>
              <w:t>24</w:t>
            </w:r>
          </w:p>
        </w:tc>
        <w:tc>
          <w:tcPr>
            <w:tcW w:w="1359" w:type="dxa"/>
            <w:tcBorders>
              <w:top w:val="nil"/>
              <w:left w:val="nil"/>
              <w:bottom w:val="single" w:sz="4" w:space="0" w:color="auto"/>
              <w:right w:val="single" w:sz="4" w:space="0" w:color="auto"/>
            </w:tcBorders>
            <w:shd w:val="clear" w:color="auto" w:fill="auto"/>
            <w:vAlign w:val="center"/>
            <w:hideMark/>
          </w:tcPr>
          <w:p w14:paraId="61D296E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66F3806B"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F6EBA">
              <w:rPr>
                <w:rFonts w:ascii="Calibri" w:hAnsi="Calibri"/>
                <w:color w:val="000000" w:themeColor="text1"/>
                <w:position w:val="0"/>
                <w:sz w:val="18"/>
                <w:szCs w:val="18"/>
              </w:rPr>
              <w:t>/</w:t>
            </w:r>
            <w:r w:rsidRPr="008F6EBA">
              <w:rPr>
                <w:rFonts w:ascii="Calibri" w:hAnsi="Calibri"/>
                <w:color w:val="000000" w:themeColor="text1"/>
                <w:position w:val="0"/>
                <w:sz w:val="18"/>
                <w:szCs w:val="18"/>
              </w:rPr>
              <w:t xml:space="preserve">financeiro. </w:t>
            </w:r>
          </w:p>
        </w:tc>
        <w:tc>
          <w:tcPr>
            <w:tcW w:w="1221" w:type="dxa"/>
            <w:tcBorders>
              <w:top w:val="nil"/>
              <w:left w:val="nil"/>
              <w:bottom w:val="single" w:sz="4" w:space="0" w:color="auto"/>
              <w:right w:val="single" w:sz="4" w:space="0" w:color="auto"/>
            </w:tcBorders>
            <w:shd w:val="clear" w:color="000000" w:fill="FCE4D6"/>
            <w:vAlign w:val="center"/>
            <w:hideMark/>
          </w:tcPr>
          <w:p w14:paraId="26926FA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AD2FB6A"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6B03FAD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12BB8C3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3FFFAA3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4E31162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Na elaboração do edital </w:t>
            </w:r>
            <w:r w:rsidR="008F6EBA" w:rsidRPr="008F6EBA">
              <w:rPr>
                <w:rFonts w:ascii="Calibri" w:hAnsi="Calibri"/>
                <w:color w:val="000000" w:themeColor="text1"/>
                <w:position w:val="0"/>
                <w:sz w:val="18"/>
                <w:szCs w:val="18"/>
              </w:rPr>
              <w:t>prever clausulas</w:t>
            </w:r>
            <w:r w:rsidRPr="008F6EBA">
              <w:rPr>
                <w:rFonts w:ascii="Calibri" w:hAnsi="Calibri"/>
                <w:color w:val="000000" w:themeColor="text1"/>
                <w:position w:val="0"/>
                <w:sz w:val="18"/>
                <w:szCs w:val="18"/>
              </w:rPr>
              <w:t xml:space="preserve"> que respaldem a administração para eventual extinção anormal do </w:t>
            </w:r>
            <w:r w:rsidR="008F6EBA" w:rsidRPr="008F6EBA">
              <w:rPr>
                <w:rFonts w:ascii="Calibri" w:hAnsi="Calibri"/>
                <w:color w:val="000000" w:themeColor="text1"/>
                <w:position w:val="0"/>
                <w:sz w:val="18"/>
                <w:szCs w:val="18"/>
              </w:rPr>
              <w:t>contrato</w:t>
            </w:r>
            <w:r w:rsidR="008F6EBA">
              <w:rPr>
                <w:rFonts w:ascii="Calibri" w:hAnsi="Calibri"/>
                <w:color w:val="000000" w:themeColor="text1"/>
                <w:position w:val="0"/>
                <w:sz w:val="18"/>
                <w:szCs w:val="18"/>
              </w:rPr>
              <w:t>.</w:t>
            </w:r>
            <w:r w:rsidR="008F6EBA" w:rsidRPr="008F6EBA">
              <w:rPr>
                <w:rFonts w:ascii="Calibri" w:hAnsi="Calibri"/>
                <w:color w:val="000000" w:themeColor="text1"/>
                <w:position w:val="0"/>
                <w:sz w:val="18"/>
                <w:szCs w:val="18"/>
              </w:rPr>
              <w:t xml:space="preserve"> Exigir</w:t>
            </w:r>
            <w:r w:rsidRPr="008F6EBA">
              <w:rPr>
                <w:rFonts w:ascii="Calibri" w:hAnsi="Calibri"/>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14:paraId="4C2CD0A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DEPARTAMENTO DE LICITAÇÃO</w:t>
            </w:r>
          </w:p>
        </w:tc>
      </w:tr>
      <w:tr w:rsidR="008F6EBA" w:rsidRPr="008F6EBA" w14:paraId="525B347F"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C128B48"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25</w:t>
            </w:r>
          </w:p>
        </w:tc>
        <w:tc>
          <w:tcPr>
            <w:tcW w:w="1359" w:type="dxa"/>
            <w:tcBorders>
              <w:top w:val="nil"/>
              <w:left w:val="nil"/>
              <w:bottom w:val="single" w:sz="4" w:space="0" w:color="auto"/>
              <w:right w:val="single" w:sz="4" w:space="0" w:color="auto"/>
            </w:tcBorders>
            <w:shd w:val="clear" w:color="auto" w:fill="auto"/>
            <w:vAlign w:val="center"/>
            <w:hideMark/>
          </w:tcPr>
          <w:p w14:paraId="3E7608C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513B4F9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14:paraId="6B68845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23AA7B9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14:paraId="5E5506E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7EF5E59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14:paraId="3A74C0DF"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2C17F2B8"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14:paraId="2DC7502A"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bl>
    <w:p w14:paraId="0FF9D2CB" w14:textId="77777777" w:rsidR="004C2BF6" w:rsidRDefault="004C2BF6" w:rsidP="001968B4">
      <w:pPr>
        <w:ind w:left="1" w:hanging="3"/>
        <w:jc w:val="center"/>
        <w:rPr>
          <w:rFonts w:eastAsia="Merriweather"/>
          <w:b/>
          <w:sz w:val="28"/>
          <w:szCs w:val="28"/>
        </w:rPr>
      </w:pPr>
    </w:p>
    <w:p w14:paraId="7E186360" w14:textId="77777777" w:rsidR="009A57C6" w:rsidRPr="004C2BF6" w:rsidRDefault="009A57C6" w:rsidP="004C2BF6">
      <w:pPr>
        <w:ind w:left="0" w:hanging="2"/>
        <w:jc w:val="center"/>
        <w:rPr>
          <w:rFonts w:ascii="Cambria Math" w:hAnsi="Cambria Math"/>
          <w:sz w:val="22"/>
          <w:szCs w:val="22"/>
        </w:rPr>
      </w:pPr>
    </w:p>
    <w:p w14:paraId="08A94B78" w14:textId="77777777" w:rsidR="004C2BF6" w:rsidRPr="004C2BF6" w:rsidRDefault="004C2BF6" w:rsidP="004C2BF6">
      <w:pPr>
        <w:ind w:left="0" w:hanging="2"/>
        <w:jc w:val="center"/>
        <w:rPr>
          <w:rFonts w:ascii="Cambria Math" w:hAnsi="Cambria Math"/>
          <w:sz w:val="22"/>
          <w:szCs w:val="22"/>
        </w:rPr>
      </w:pPr>
    </w:p>
    <w:p w14:paraId="61C0FC27" w14:textId="77777777" w:rsidR="009531DB" w:rsidRDefault="000019E4" w:rsidP="009A57C6">
      <w:pPr>
        <w:widowControl w:val="0"/>
        <w:pBdr>
          <w:top w:val="nil"/>
          <w:left w:val="nil"/>
          <w:bottom w:val="nil"/>
          <w:right w:val="nil"/>
          <w:between w:val="nil"/>
        </w:pBdr>
        <w:tabs>
          <w:tab w:val="left" w:pos="567"/>
        </w:tabs>
        <w:spacing w:line="240" w:lineRule="auto"/>
        <w:ind w:leftChars="0" w:left="0" w:right="-426" w:firstLineChars="0" w:firstLine="0"/>
        <w:jc w:val="center"/>
        <w:rPr>
          <w:rFonts w:eastAsia="Merriweather"/>
          <w:b/>
          <w:sz w:val="22"/>
          <w:szCs w:val="22"/>
        </w:rPr>
      </w:pPr>
      <w:r>
        <w:rPr>
          <w:rFonts w:eastAsia="Merriweather"/>
          <w:b/>
          <w:sz w:val="22"/>
          <w:szCs w:val="22"/>
        </w:rPr>
        <w:t>ALEXANDRO BERETTA</w:t>
      </w:r>
    </w:p>
    <w:p w14:paraId="439661E6" w14:textId="77777777" w:rsidR="004C2BF6" w:rsidRPr="004C2BF6" w:rsidRDefault="009A57C6" w:rsidP="009A57C6">
      <w:pPr>
        <w:ind w:left="0" w:hanging="2"/>
        <w:jc w:val="center"/>
        <w:rPr>
          <w:rFonts w:eastAsia="SimSun"/>
          <w:kern w:val="3"/>
          <w:sz w:val="22"/>
          <w:szCs w:val="22"/>
          <w:lang w:eastAsia="zh-CN" w:bidi="hi-IN"/>
        </w:rPr>
      </w:pPr>
      <w:r>
        <w:rPr>
          <w:rFonts w:eastAsia="SimSun"/>
          <w:kern w:val="3"/>
          <w:sz w:val="22"/>
          <w:szCs w:val="22"/>
          <w:lang w:eastAsia="zh-CN" w:bidi="hi-IN"/>
        </w:rPr>
        <w:t xml:space="preserve">      </w:t>
      </w:r>
      <w:r w:rsidR="000019E4">
        <w:rPr>
          <w:rFonts w:eastAsia="SimSun"/>
          <w:kern w:val="3"/>
          <w:sz w:val="22"/>
          <w:szCs w:val="22"/>
          <w:lang w:eastAsia="zh-CN" w:bidi="hi-IN"/>
        </w:rPr>
        <w:t>Secretário da Saúde</w:t>
      </w:r>
    </w:p>
    <w:p w14:paraId="7B368673" w14:textId="77777777"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B96BD" w14:textId="77777777" w:rsidR="00B26A69" w:rsidRDefault="00B26A69">
      <w:pPr>
        <w:spacing w:line="240" w:lineRule="auto"/>
        <w:ind w:left="0" w:hanging="2"/>
      </w:pPr>
      <w:r>
        <w:separator/>
      </w:r>
    </w:p>
  </w:endnote>
  <w:endnote w:type="continuationSeparator" w:id="0">
    <w:p w14:paraId="4628FF62" w14:textId="77777777" w:rsidR="00B26A69" w:rsidRDefault="00B26A6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F4A6" w14:textId="77777777" w:rsidR="0065255A" w:rsidRDefault="0065255A">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7E21" w14:textId="77777777"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B0AA" w14:textId="77777777" w:rsidR="0065255A" w:rsidRDefault="0065255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5C407" w14:textId="77777777" w:rsidR="00B26A69" w:rsidRDefault="00B26A69">
      <w:pPr>
        <w:spacing w:line="240" w:lineRule="auto"/>
        <w:ind w:left="0" w:hanging="2"/>
      </w:pPr>
      <w:r>
        <w:separator/>
      </w:r>
    </w:p>
  </w:footnote>
  <w:footnote w:type="continuationSeparator" w:id="0">
    <w:p w14:paraId="7BF5C059" w14:textId="77777777" w:rsidR="00B26A69" w:rsidRDefault="00B26A6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6E9C1" w14:textId="77777777" w:rsidR="0065255A" w:rsidRDefault="0065255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1511D" w14:textId="77777777" w:rsidR="0065255A" w:rsidRDefault="00B26A69">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4A5436A8" wp14:editId="1BC1B069">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6F120515"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C36497" w:rsidRPr="00C36497">
                                <w:rPr>
                                  <w:noProof/>
                                  <w:color w:val="FFFFFF" w:themeColor="background1"/>
                                </w:rPr>
                                <w:t>1</w:t>
                              </w:r>
                              <w:r>
                                <w:rPr>
                                  <w:color w:val="FFFFFF" w:themeColor="background1"/>
                                </w:rPr>
                                <w:fldChar w:fldCharType="end"/>
                              </w:r>
                            </w:p>
                            <w:p w14:paraId="2159F9C1" w14:textId="77777777"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nzrwIAAG8FAAAOAAAAZHJzL2Uyb0RvYy54bWysVG1v0zAQ/o7Ef7D8vYsTkjaJlk5bSxHS&#10;gEmDH+DGTmNw7GC7TTfEf+fsZFsHCCFEPji+8/nxvTx35xfHTqIDN1ZoVeH4jGDEVa2ZULsKf/q4&#10;meUYWUcVo1IrXuE7bvHF8uWL86EveaJbLRk3CECULYe+wq1zfRlFtm55R+2Z7rmCw0abjjoQzS5i&#10;hg6A3skoIWQeDdqw3uiaWwva9XiIlwG/aXjtPjSN5Q7JCoNvLqwmrFu/RstzWu4M7VtRT27Qf/Ci&#10;o0LBo49Qa+oo2hvxC1QnaqOtbtxZrbtIN42oeYgBoonJT9HctrTnIRZIju0f02T/H2z9/nBjkGBQ&#10;uzlGinZQo1sOzvfUUETRWhguQIRTSNXQ2xJu3PY3xgdr+2tdf7FI6VVL1Y5fGqOHllMGDsbePnp2&#10;wQsWrqLt8E4zeIjunQ5ZOzamQ0ZDdWKSE/8FNaQHHUOt7h5rxY8O1aDM8pgkGUY1HKWkyBZZeJCW&#10;Hss71xvr3nDdIb+psBG71gUHAzQ9XFsXCsamqCn7HGPUdBLqf6ASZSRZ5BM/TmySZzZJmifTuxNi&#10;9PRySJGWgm2ElEEwu+1KGgTwFV6RjKTr6bI9NZPKGyvtr/kk0nLUQOiT0z4JgV3fijhJyVVSzDbz&#10;fDFLN2k2KxYkn5G4uCrmJC3S9ea7jzhOy1YwxtW1UPyB6XH6d0yaem7kaOA6GipcZFCAPweZrfJX&#10;V+nvguyEg8aXoqvwVPHQip49rxULe0eFHPfRc/dDTiAHD/+QlcA1T6+Rpu64PQKK59xWsztgXeAX&#10;zACYVsCHVpt7jAbo/Arbr3tqOEbyrQLmFnGa+lERBNiYU+32QUtVDRAVdhiN25Ubx8q+D1TzHTCW&#10;8RJY3gjnK/nkzSRAV4cgpgnkx8apHKye5uTyBwAAAP//AwBQSwMEFAAGAAgAAAAhAAd10CXcAAAA&#10;AwEAAA8AAABkcnMvZG93bnJldi54bWxMj0FLw0AQhe+C/2EZwZvdVEyJaTalRKQgeDAtld6m2WkS&#10;mp0N2W0T/72rF70MPN7jvW+y1WQ6caXBtZYVzGcRCOLK6pZrBbvt60MCwnlkjZ1lUvBFDlb57U2G&#10;qbYjf9C19LUIJexSVNB436dSuqohg25me+Lgnexg0Ac51FIPOIZy08nHKFpIgy2HhQZ7KhqqzuXF&#10;KIjxbfxcy2KXvG9eikO5TzYcOaXu76b1EoSnyf+F4Qc/oEMemI72wtqJTkF4xP/e4D3PYxBHBYun&#10;GGSeyf/s+TcAAAD//wMAUEsBAi0AFAAGAAgAAAAhALaDOJL+AAAA4QEAABMAAAAAAAAAAAAAAAAA&#10;AAAAAFtDb250ZW50X1R5cGVzXS54bWxQSwECLQAUAAYACAAAACEAOP0h/9YAAACUAQAACwAAAAAA&#10;AAAAAAAAAAAvAQAAX3JlbHMvLnJlbHNQSwECLQAUAAYACAAAACEAc2Ip868CAABvBQAADgAAAAAA&#10;AAAAAAAAAAAuAgAAZHJzL2Uyb0RvYy54bWxQSwECLQAUAAYACAAAACEAB3XQJdwAAAADAQAADwAA&#10;AAAAAAAAAAAAAAAJBQAAZHJzL2Rvd25yZXYueG1sUEsFBgAAAAAEAAQA8wAAABIGAAAAAA==&#10;" o:allowincell="f" adj="13609,5370" fillcolor="#c0504d" stroked="f" strokecolor="#5c83b4">
                  <v:textbox inset=",0,,0">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C36497" w:rsidRPr="00C36497">
                          <w:rPr>
                            <w:noProof/>
                            <w:color w:val="FFFFFF" w:themeColor="background1"/>
                          </w:rPr>
                          <w:t>1</w:t>
                        </w:r>
                        <w:r>
                          <w:rPr>
                            <w:color w:val="FFFFFF" w:themeColor="background1"/>
                          </w:rPr>
                          <w:fldChar w:fldCharType="end"/>
                        </w:r>
                      </w:p>
                      <w:p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70997CC4" wp14:editId="4B545620">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7D78EB41" wp14:editId="22E61074">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D7C98"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10818174"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534FF563" w14:textId="77777777"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8E4D00"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6VnvQIAALkFAAAOAAAAZHJzL2Uyb0RvYy54bWysVF2O0zAQfkfiDpbfs0m6TttETVe7TYOQ&#10;FlixcAA3cRqLxA6223RBXIarcDHGTn93XxCQh8j2jGfmm+/zzG52bYO2TGkuRYrDqwAjJgpZcrFO&#10;8edPuTfFSBsqStpIwVL8xDS+mb9+Neu7hI1kLZuSKQRBhE76LsW1MV3i+7qoWUv1leyYAGMlVUsN&#10;bNXaLxXtIXrb+KMgGPu9VGWnZMG0htNsMOK5i19VrDAfqkozg5oUQ23G/ZX7r+zfn89osla0q3mx&#10;L4P+RRUt5QKSHkNl1FC0UfxFqJYXSmpZmatCtr6sKl4whwHQhMEzNI817ZjDAs3R3bFN+v+FLd5v&#10;HxTiJXCHkaAtUPSRmV8/xXrTSHRt+9N3OgG3x+5BWYS6u5fFF42EXNRUrNmtUrKvGS2hqtD6+xcX&#10;7EbDVbTq38kSwtONka5Vu0q1NiA0Ae0cI09HRtjOoAIOo5BEJIgwKsAWBpPp6Npx5tPkcL1T2rxh&#10;skV2kWIFlLvwdHuvjS2HJgcXm03InDeNo70RFwfgOJxAcrhqbbYMx+L3OIiX0+WUeGQ0XnokyDLv&#10;Nl8Qb5yHkyi7zhaLLPxh84YkqXlZMmHTHBQVkj9jbK/tQQtHTWnZ8NKGsyVptV4tGoW2FBSdu881&#10;HSwnN/+yDNcEwPIMUjgiwd0o9vLxdOKRnERePAmmXhDGd/E4IDHJ8ktI91ywf4eE+hTH0ShyLJ0V&#10;/Qxb4L6X2GjScgMzo+FtiqdHJ5pYDS5F6ag1lDfD+qwVtvxTK4DuA9FOsVakg9jNbrXbPwkIZgW8&#10;kuUTSFhJEBhMEZh3sKil+oZRD7MjxfrrhiqGUfNWwDOIQwLwkHEbEo1jGILq3LI6t1BRQKgUG4yG&#10;5cIMA2rTKb6uIVPoWiXkLTydijtRn6raPziYDw7bfpbZAXS+d16niTv/DQAA//8DAFBLAwQUAAYA&#10;CAAAACEA+1kmLOEAAAAMAQAADwAAAGRycy9kb3ducmV2LnhtbEyPS0/DMBCE70j8B2uRuLVOE9rS&#10;EKdCPMQBIYUC921skoh4HcVuHv+e7QluM9rR7DfZfrKtGEzvG0cKVssIhKHS6YYqBZ8fz4tbED4g&#10;aWwdGQWz8bDPLy8yTLUb6d0Mh1AJLiGfooI6hC6V0pe1seiXrjPEt2/XWwxs+0rqHkcut62Mo2gj&#10;LTbEH2rszENtyp/DySoovp7e9Bxt/cv4mAxzQdsCu1elrq+m+zsQwUzhLwxnfEaHnJmO7kTai1bB&#10;TbzjLUHBYrVJQJwTcbJjdWS1TtYg80z+H5H/AgAA//8DAFBLAQItABQABgAIAAAAIQC2gziS/gAA&#10;AOEBAAATAAAAAAAAAAAAAAAAAAAAAABbQ29udGVudF9UeXBlc10ueG1sUEsBAi0AFAAGAAgAAAAh&#10;ADj9If/WAAAAlAEAAAsAAAAAAAAAAAAAAAAALwEAAF9yZWxzLy5yZWxzUEsBAi0AFAAGAAgAAAAh&#10;ACS3pWe9AgAAuQUAAA4AAAAAAAAAAAAAAAAALgIAAGRycy9lMm9Eb2MueG1sUEsBAi0AFAAGAAgA&#10;AAAhAPtZJizhAAAADAEAAA8AAAAAAAAAAAAAAAAAFwUAAGRycy9kb3ducmV2LnhtbFBLBQYAAAAA&#10;BAAEAPMAAAAlBgAAAAA=&#10;" filled="f" stroked="f">
              <v:textbox inset="2.53958mm,1.2694mm,2.53958mm,1.2694mm">
                <w:txbxContent>
                  <w:p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rsidR="0065255A" w:rsidRDefault="0065255A">
                    <w:pPr>
                      <w:spacing w:line="240" w:lineRule="auto"/>
                      <w:ind w:left="0" w:hanging="2"/>
                    </w:pPr>
                  </w:p>
                </w:txbxContent>
              </v:textbox>
            </v:rect>
          </w:pict>
        </mc:Fallback>
      </mc:AlternateContent>
    </w:r>
  </w:p>
  <w:p w14:paraId="1CF1B75B"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14:paraId="0013CE2B"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12D8EC44"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26EC995D"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5DC44FCE"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7B07E" w14:textId="77777777" w:rsidR="0065255A" w:rsidRDefault="0065255A">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812259290">
    <w:abstractNumId w:val="11"/>
  </w:num>
  <w:num w:numId="2" w16cid:durableId="179977863">
    <w:abstractNumId w:val="9"/>
  </w:num>
  <w:num w:numId="3" w16cid:durableId="1021706803">
    <w:abstractNumId w:val="16"/>
  </w:num>
  <w:num w:numId="4" w16cid:durableId="1991130319">
    <w:abstractNumId w:val="19"/>
  </w:num>
  <w:num w:numId="5" w16cid:durableId="1906212064">
    <w:abstractNumId w:val="6"/>
  </w:num>
  <w:num w:numId="6" w16cid:durableId="1762601120">
    <w:abstractNumId w:val="3"/>
  </w:num>
  <w:num w:numId="7" w16cid:durableId="164831113">
    <w:abstractNumId w:val="1"/>
  </w:num>
  <w:num w:numId="8" w16cid:durableId="1830289963">
    <w:abstractNumId w:val="12"/>
  </w:num>
  <w:num w:numId="9" w16cid:durableId="1787768884">
    <w:abstractNumId w:val="7"/>
  </w:num>
  <w:num w:numId="10" w16cid:durableId="1320646563">
    <w:abstractNumId w:val="5"/>
  </w:num>
  <w:num w:numId="11" w16cid:durableId="231934792">
    <w:abstractNumId w:val="14"/>
  </w:num>
  <w:num w:numId="12" w16cid:durableId="1705979023">
    <w:abstractNumId w:val="4"/>
  </w:num>
  <w:num w:numId="13" w16cid:durableId="268853742">
    <w:abstractNumId w:val="18"/>
  </w:num>
  <w:num w:numId="14" w16cid:durableId="2009091615">
    <w:abstractNumId w:val="20"/>
  </w:num>
  <w:num w:numId="15" w16cid:durableId="1614703205">
    <w:abstractNumId w:val="2"/>
  </w:num>
  <w:num w:numId="16" w16cid:durableId="393164582">
    <w:abstractNumId w:val="21"/>
  </w:num>
  <w:num w:numId="17" w16cid:durableId="19190938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3131843">
    <w:abstractNumId w:val="15"/>
  </w:num>
  <w:num w:numId="19" w16cid:durableId="1276448946">
    <w:abstractNumId w:val="8"/>
  </w:num>
  <w:num w:numId="20" w16cid:durableId="899635774">
    <w:abstractNumId w:val="13"/>
  </w:num>
  <w:num w:numId="21" w16cid:durableId="1054046355">
    <w:abstractNumId w:val="17"/>
  </w:num>
  <w:num w:numId="22" w16cid:durableId="16798450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19E4"/>
    <w:rsid w:val="000026DF"/>
    <w:rsid w:val="0000593F"/>
    <w:rsid w:val="00005C7E"/>
    <w:rsid w:val="00030EA3"/>
    <w:rsid w:val="00031683"/>
    <w:rsid w:val="00032780"/>
    <w:rsid w:val="0003535C"/>
    <w:rsid w:val="0005135E"/>
    <w:rsid w:val="000745B8"/>
    <w:rsid w:val="00075F1D"/>
    <w:rsid w:val="000A2439"/>
    <w:rsid w:val="000C0916"/>
    <w:rsid w:val="000C7D11"/>
    <w:rsid w:val="000D32A6"/>
    <w:rsid w:val="000D4FCB"/>
    <w:rsid w:val="000E7410"/>
    <w:rsid w:val="000F24EC"/>
    <w:rsid w:val="0010234A"/>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452FF"/>
    <w:rsid w:val="00254EFC"/>
    <w:rsid w:val="00262A67"/>
    <w:rsid w:val="00275B59"/>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344E"/>
    <w:rsid w:val="003D68C1"/>
    <w:rsid w:val="003E4BCA"/>
    <w:rsid w:val="003F6740"/>
    <w:rsid w:val="004006B0"/>
    <w:rsid w:val="00401DD6"/>
    <w:rsid w:val="00424EF5"/>
    <w:rsid w:val="0043341B"/>
    <w:rsid w:val="004374C3"/>
    <w:rsid w:val="00444437"/>
    <w:rsid w:val="00444D94"/>
    <w:rsid w:val="00483BC5"/>
    <w:rsid w:val="00495CA6"/>
    <w:rsid w:val="004A2076"/>
    <w:rsid w:val="004B6636"/>
    <w:rsid w:val="004C2BF6"/>
    <w:rsid w:val="004C6356"/>
    <w:rsid w:val="004D21E8"/>
    <w:rsid w:val="004D740D"/>
    <w:rsid w:val="004D788D"/>
    <w:rsid w:val="004E1583"/>
    <w:rsid w:val="004E248F"/>
    <w:rsid w:val="004E5268"/>
    <w:rsid w:val="004F0FF8"/>
    <w:rsid w:val="004F1234"/>
    <w:rsid w:val="004F23D2"/>
    <w:rsid w:val="004F2A66"/>
    <w:rsid w:val="00504539"/>
    <w:rsid w:val="005068F4"/>
    <w:rsid w:val="00512232"/>
    <w:rsid w:val="005219AB"/>
    <w:rsid w:val="00543699"/>
    <w:rsid w:val="005446F0"/>
    <w:rsid w:val="0056322A"/>
    <w:rsid w:val="0058753F"/>
    <w:rsid w:val="005907E4"/>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E4817"/>
    <w:rsid w:val="00703625"/>
    <w:rsid w:val="0070452A"/>
    <w:rsid w:val="00704DBA"/>
    <w:rsid w:val="00704FCC"/>
    <w:rsid w:val="00710F5D"/>
    <w:rsid w:val="00716631"/>
    <w:rsid w:val="00725F14"/>
    <w:rsid w:val="00754600"/>
    <w:rsid w:val="00760B1F"/>
    <w:rsid w:val="0076531D"/>
    <w:rsid w:val="00783EEC"/>
    <w:rsid w:val="007A0E2F"/>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85556"/>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F6387"/>
    <w:rsid w:val="00B26A69"/>
    <w:rsid w:val="00B311E2"/>
    <w:rsid w:val="00B3237D"/>
    <w:rsid w:val="00B35DB8"/>
    <w:rsid w:val="00B619F8"/>
    <w:rsid w:val="00B75B36"/>
    <w:rsid w:val="00B82ED4"/>
    <w:rsid w:val="00B836D1"/>
    <w:rsid w:val="00BB09A2"/>
    <w:rsid w:val="00BC7DB7"/>
    <w:rsid w:val="00BE23AA"/>
    <w:rsid w:val="00BE2E32"/>
    <w:rsid w:val="00BF21C1"/>
    <w:rsid w:val="00BF65DE"/>
    <w:rsid w:val="00C00EA9"/>
    <w:rsid w:val="00C060A2"/>
    <w:rsid w:val="00C07243"/>
    <w:rsid w:val="00C345DB"/>
    <w:rsid w:val="00C36497"/>
    <w:rsid w:val="00C47F35"/>
    <w:rsid w:val="00C55E4F"/>
    <w:rsid w:val="00C67A5D"/>
    <w:rsid w:val="00C7235A"/>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4115"/>
    <w:rsid w:val="00D27823"/>
    <w:rsid w:val="00D4518E"/>
    <w:rsid w:val="00D55E49"/>
    <w:rsid w:val="00D56DC1"/>
    <w:rsid w:val="00D60203"/>
    <w:rsid w:val="00D64C81"/>
    <w:rsid w:val="00D70D8B"/>
    <w:rsid w:val="00D75C9C"/>
    <w:rsid w:val="00D87D94"/>
    <w:rsid w:val="00D94743"/>
    <w:rsid w:val="00DA3CB2"/>
    <w:rsid w:val="00DD4132"/>
    <w:rsid w:val="00DD466D"/>
    <w:rsid w:val="00DF00EA"/>
    <w:rsid w:val="00DF6F24"/>
    <w:rsid w:val="00E14F5F"/>
    <w:rsid w:val="00E22066"/>
    <w:rsid w:val="00E22F15"/>
    <w:rsid w:val="00E27D6C"/>
    <w:rsid w:val="00E433F3"/>
    <w:rsid w:val="00E434DE"/>
    <w:rsid w:val="00E465A0"/>
    <w:rsid w:val="00E50BFD"/>
    <w:rsid w:val="00E572B6"/>
    <w:rsid w:val="00E62D2D"/>
    <w:rsid w:val="00E6721F"/>
    <w:rsid w:val="00E800E7"/>
    <w:rsid w:val="00EA29FC"/>
    <w:rsid w:val="00EA51E7"/>
    <w:rsid w:val="00EA788B"/>
    <w:rsid w:val="00EB4BAE"/>
    <w:rsid w:val="00EC2F19"/>
    <w:rsid w:val="00ED14E1"/>
    <w:rsid w:val="00ED50C2"/>
    <w:rsid w:val="00EE0407"/>
    <w:rsid w:val="00EE4918"/>
    <w:rsid w:val="00EE6F55"/>
    <w:rsid w:val="00F2732E"/>
    <w:rsid w:val="00F316C4"/>
    <w:rsid w:val="00F40812"/>
    <w:rsid w:val="00F432B0"/>
    <w:rsid w:val="00F43A5D"/>
    <w:rsid w:val="00F53BB0"/>
    <w:rsid w:val="00F572A2"/>
    <w:rsid w:val="00F6089F"/>
    <w:rsid w:val="00F60B24"/>
    <w:rsid w:val="00F62FC5"/>
    <w:rsid w:val="00F75205"/>
    <w:rsid w:val="00F76358"/>
    <w:rsid w:val="00F8723B"/>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61458"/>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BBA600B3-E549-477D-B667-ACB5F6A4084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7</Pages>
  <Words>2286</Words>
  <Characters>12350</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5</cp:revision>
  <cp:lastPrinted>2024-11-22T19:13:00Z</cp:lastPrinted>
  <dcterms:created xsi:type="dcterms:W3CDTF">2024-05-08T13:09:00Z</dcterms:created>
  <dcterms:modified xsi:type="dcterms:W3CDTF">2024-11-22T19:13:00Z</dcterms:modified>
</cp:coreProperties>
</file>