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78B103E" w14:textId="055EFC9F" w:rsidR="003A0AD4" w:rsidRPr="000066C5" w:rsidRDefault="00764604" w:rsidP="000066C5">
      <w:pPr>
        <w:widowControl w:val="0"/>
        <w:spacing w:line="360" w:lineRule="auto"/>
        <w:jc w:val="both"/>
        <w:rPr>
          <w:rFonts w:ascii="Arial" w:hAnsi="Arial" w:cs="Arial"/>
          <w:b/>
        </w:rPr>
      </w:pPr>
      <w:r>
        <w:rPr>
          <w:b/>
        </w:rPr>
        <w:t xml:space="preserve">OBJETO: </w:t>
      </w:r>
      <w:r w:rsidR="000066C5" w:rsidRPr="000066C5">
        <w:rPr>
          <w:rFonts w:ascii="Arial" w:hAnsi="Arial" w:cs="Arial"/>
          <w:b/>
        </w:rPr>
        <w:t xml:space="preserve">AQUISIÇÃO DE EQUIPAMENTOS E MATERIAIS PERMANENTES PARA UNIDADE DE ATENÇÃO ESPECIALIZADA EM SAÚDE DE BANDEIRANTES-CAPS, CONFORME PROPOSTA Nº09520756000123002/2023.  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F3007">
              <w:t xml:space="preserve"> 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06CD4BC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97930">
              <w:t>X</w:t>
            </w:r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2E1220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643786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29E8DD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963122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97930">
              <w:t xml:space="preserve"> </w:t>
            </w:r>
            <w:r w:rsidR="005D1C52">
              <w:t>x</w:t>
            </w:r>
            <w:r>
              <w:t xml:space="preserve">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61B60DE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 xml:space="preserve"> </w:t>
            </w:r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963D5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97930">
              <w:t>X</w:t>
            </w:r>
            <w:r>
              <w:t xml:space="preserve">  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03EB96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7FFE791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97930">
              <w:t>X</w:t>
            </w:r>
            <w:r>
              <w:t xml:space="preserve"> 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5846C11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2D6B67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97930">
              <w:t>X</w:t>
            </w:r>
            <w:r>
              <w:t xml:space="preserve">  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5ACF785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C050DF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6F4AB3">
              <w:t>X</w:t>
            </w:r>
            <w:r>
              <w:t xml:space="preserve">  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35BC7893" w14:textId="08F515E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="006F4AB3" w:rsidRPr="006F4AB3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0BDFE639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483B8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97930">
              <w:t>X</w:t>
            </w:r>
            <w:r>
              <w:t xml:space="preserve"> 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6A7E57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175F402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 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</w:t>
            </w:r>
            <w:r w:rsidR="006F4AB3">
              <w:t>procedimentos da IN ME 81/2022?</w:t>
            </w:r>
            <w:r w:rsidR="006F4AB3" w:rsidRPr="006F4AB3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3981BCF1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B62342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0177912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413A3CB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3C1BAB4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497EE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>x</w:t>
            </w:r>
            <w:r>
              <w:t xml:space="preserve">   ) Sim</w:t>
            </w:r>
          </w:p>
          <w:p w14:paraId="440E3193" w14:textId="0134643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0BF62CF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1DCA9D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>x</w:t>
            </w:r>
            <w:r>
              <w:t xml:space="preserve">    ) Sim</w:t>
            </w:r>
          </w:p>
          <w:p w14:paraId="54559062" w14:textId="13306FCF" w:rsidR="003A0AD4" w:rsidRDefault="00197930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) Não</w:t>
            </w:r>
          </w:p>
          <w:p w14:paraId="7190F41D" w14:textId="142CB6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171095E9" w:rsidR="003A0AD4" w:rsidRDefault="003A0AD4" w:rsidP="00690CBC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</w:t>
            </w:r>
            <w:r w:rsidR="00EC0E3C">
              <w:t>)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1E87724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690CBC">
              <w:t>X</w:t>
            </w:r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65DED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="00690CBC"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E2448B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F3007">
              <w:t xml:space="preserve">  </w:t>
            </w:r>
            <w:r>
              <w:t>) Sim</w:t>
            </w:r>
          </w:p>
          <w:p w14:paraId="3E5E4195" w14:textId="63F4404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8129F6">
              <w:t xml:space="preserve">  </w:t>
            </w:r>
            <w:r>
              <w:t xml:space="preserve"> ) Não</w:t>
            </w:r>
          </w:p>
          <w:p w14:paraId="4106C187" w14:textId="2D020EF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F3007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717B7B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32DDA">
              <w:t>X</w:t>
            </w:r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F2B6A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6F4AB3">
              <w:t>X</w:t>
            </w:r>
            <w:r>
              <w:t xml:space="preserve">   ) Sim</w:t>
            </w:r>
          </w:p>
          <w:p w14:paraId="35398B4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BA19BC7" w14:textId="3ADC4E2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30AE5C6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FEC4BF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DB247D">
              <w:t>X</w:t>
            </w:r>
            <w:r>
              <w:t xml:space="preserve"> 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56153F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1A8157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B437C">
              <w:t>X</w:t>
            </w:r>
            <w:r>
              <w:t xml:space="preserve">   ) Sim</w:t>
            </w:r>
          </w:p>
          <w:p w14:paraId="17D626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D9A4E3A" w14:textId="117D68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141C0D3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F3007">
              <w:t xml:space="preserve">  </w:t>
            </w:r>
            <w:r>
              <w:t>) Sim</w:t>
            </w:r>
          </w:p>
          <w:p w14:paraId="406021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61B0A05A" w:rsidR="003A0AD4" w:rsidRDefault="001F3007" w:rsidP="001F3007">
            <w:pPr>
              <w:widowControl w:val="0"/>
              <w:spacing w:line="276" w:lineRule="auto"/>
              <w:jc w:val="both"/>
            </w:pPr>
            <w:r>
              <w:t>(X</w:t>
            </w:r>
            <w:r w:rsidR="003A0AD4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F3007">
              <w:t>X</w:t>
            </w:r>
            <w:r>
              <w:t xml:space="preserve"> ) Sim</w:t>
            </w:r>
          </w:p>
          <w:p w14:paraId="09366F1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5B3ABE47" w:rsidR="003A0AD4" w:rsidRDefault="00C42082" w:rsidP="007B437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A0AD4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6F54C05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17C15785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6F47434F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lastRenderedPageBreak/>
        <w:t>A Lei nº 12.527, de 18 de novembro de 2011. traz em sua Seção II: Da Classificação da Informação quanto ao Grau e Prazos de Sigilo – Art. 23, que:</w:t>
      </w:r>
    </w:p>
    <w:p w14:paraId="1BEE1E2B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853251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2DFB5E0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1F520CE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29C4D64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7F5D20A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32BAB61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6DA8DAA2" w:rsidR="001F3007" w:rsidRPr="00F30B35" w:rsidRDefault="001F3007" w:rsidP="001F3007">
      <w:pPr>
        <w:spacing w:line="360" w:lineRule="auto"/>
        <w:ind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Bandeirantes,</w:t>
      </w:r>
      <w:r>
        <w:rPr>
          <w:rFonts w:eastAsia="Merriweather"/>
          <w:i/>
        </w:rPr>
        <w:t xml:space="preserve"> </w:t>
      </w:r>
      <w:r w:rsidR="00EC0E3C">
        <w:rPr>
          <w:rFonts w:eastAsia="Merriweather"/>
          <w:i/>
        </w:rPr>
        <w:t>18 de outubro</w:t>
      </w:r>
      <w:r>
        <w:rPr>
          <w:rFonts w:eastAsia="Merriweather"/>
          <w:i/>
        </w:rPr>
        <w:t xml:space="preserve"> de 2024</w:t>
      </w:r>
    </w:p>
    <w:p w14:paraId="57BE6931" w14:textId="77777777" w:rsidR="001F3007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3ED64E66" w14:textId="77777777" w:rsidR="001F3007" w:rsidRPr="00D24933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77777777" w:rsidR="001F3007" w:rsidRPr="00D24933" w:rsidRDefault="001F3007" w:rsidP="001F3007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603027AA" w14:textId="3C8A8653" w:rsidR="001F3007" w:rsidRDefault="0013161D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Fernanda do Carmo da Silveira</w:t>
      </w:r>
    </w:p>
    <w:p w14:paraId="326E9680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7907BFF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CF1DB1F" w14:textId="2ECA61B0" w:rsidR="001F3007" w:rsidRDefault="001F3007" w:rsidP="001F3007">
      <w:pPr>
        <w:spacing w:line="360" w:lineRule="auto"/>
        <w:ind w:hanging="2"/>
        <w:rPr>
          <w:rFonts w:eastAsia="Arial"/>
        </w:rPr>
      </w:pPr>
      <w:r>
        <w:rPr>
          <w:rFonts w:eastAsia="Merriweather"/>
          <w:sz w:val="22"/>
          <w:szCs w:val="22"/>
        </w:rPr>
        <w:t>Obs: preenchido apenas a parte que se refere a secretaria de saúde, considerando ainda que não foi possível indicar as páginas, pois a enumeração não se dá na fase inicial.</w:t>
      </w:r>
    </w:p>
    <w:p w14:paraId="68C297CA" w14:textId="77777777" w:rsidR="00C3510F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241B5" w14:textId="77777777" w:rsidR="00F8772A" w:rsidRDefault="00F8772A">
      <w:r>
        <w:separator/>
      </w:r>
    </w:p>
  </w:endnote>
  <w:endnote w:type="continuationSeparator" w:id="0">
    <w:p w14:paraId="7F1D9547" w14:textId="77777777" w:rsidR="00F8772A" w:rsidRDefault="00F8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DB191" w14:textId="77777777" w:rsidR="00F8772A" w:rsidRDefault="00F8772A">
      <w:r>
        <w:separator/>
      </w:r>
    </w:p>
  </w:footnote>
  <w:footnote w:type="continuationSeparator" w:id="0">
    <w:p w14:paraId="720AAECA" w14:textId="77777777" w:rsidR="00F8772A" w:rsidRDefault="00F87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90774935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662349247">
    <w:abstractNumId w:val="2"/>
  </w:num>
  <w:num w:numId="2" w16cid:durableId="2104303029">
    <w:abstractNumId w:val="1"/>
  </w:num>
  <w:num w:numId="3" w16cid:durableId="142398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01747"/>
    <w:rsid w:val="000066C5"/>
    <w:rsid w:val="00093155"/>
    <w:rsid w:val="00093290"/>
    <w:rsid w:val="000F46A8"/>
    <w:rsid w:val="0012730E"/>
    <w:rsid w:val="0013161D"/>
    <w:rsid w:val="00194359"/>
    <w:rsid w:val="00197930"/>
    <w:rsid w:val="001A7F88"/>
    <w:rsid w:val="001F3007"/>
    <w:rsid w:val="00216476"/>
    <w:rsid w:val="00277269"/>
    <w:rsid w:val="003547D4"/>
    <w:rsid w:val="00370366"/>
    <w:rsid w:val="00375F29"/>
    <w:rsid w:val="003A0AD4"/>
    <w:rsid w:val="003C6511"/>
    <w:rsid w:val="003E6F81"/>
    <w:rsid w:val="003F4086"/>
    <w:rsid w:val="003F757B"/>
    <w:rsid w:val="004A2DCE"/>
    <w:rsid w:val="004F09DA"/>
    <w:rsid w:val="00534DEC"/>
    <w:rsid w:val="00550F26"/>
    <w:rsid w:val="00562FF9"/>
    <w:rsid w:val="00571BB1"/>
    <w:rsid w:val="00577059"/>
    <w:rsid w:val="00591FFF"/>
    <w:rsid w:val="005B242F"/>
    <w:rsid w:val="005D1C52"/>
    <w:rsid w:val="0062685E"/>
    <w:rsid w:val="00644F7F"/>
    <w:rsid w:val="0066136E"/>
    <w:rsid w:val="006829FA"/>
    <w:rsid w:val="00690CBC"/>
    <w:rsid w:val="006B139C"/>
    <w:rsid w:val="006F4AB3"/>
    <w:rsid w:val="007076E9"/>
    <w:rsid w:val="00733392"/>
    <w:rsid w:val="007520A5"/>
    <w:rsid w:val="007559A5"/>
    <w:rsid w:val="00764604"/>
    <w:rsid w:val="007B29E2"/>
    <w:rsid w:val="007B2E43"/>
    <w:rsid w:val="007B437C"/>
    <w:rsid w:val="007B7754"/>
    <w:rsid w:val="007D7920"/>
    <w:rsid w:val="008038AC"/>
    <w:rsid w:val="008129F6"/>
    <w:rsid w:val="008226D9"/>
    <w:rsid w:val="00827CEA"/>
    <w:rsid w:val="0086296A"/>
    <w:rsid w:val="0087760F"/>
    <w:rsid w:val="00885F36"/>
    <w:rsid w:val="00891E55"/>
    <w:rsid w:val="008B1FEC"/>
    <w:rsid w:val="008E36F7"/>
    <w:rsid w:val="0090716C"/>
    <w:rsid w:val="00926CC3"/>
    <w:rsid w:val="009829B8"/>
    <w:rsid w:val="009A73E1"/>
    <w:rsid w:val="00A25ADD"/>
    <w:rsid w:val="00A5304D"/>
    <w:rsid w:val="00AC5167"/>
    <w:rsid w:val="00B023B0"/>
    <w:rsid w:val="00B27C39"/>
    <w:rsid w:val="00B3652A"/>
    <w:rsid w:val="00B446FF"/>
    <w:rsid w:val="00B7665D"/>
    <w:rsid w:val="00B811B1"/>
    <w:rsid w:val="00B96081"/>
    <w:rsid w:val="00B96FEE"/>
    <w:rsid w:val="00BB2F5F"/>
    <w:rsid w:val="00BD2A3A"/>
    <w:rsid w:val="00BF0F35"/>
    <w:rsid w:val="00C32DDA"/>
    <w:rsid w:val="00C3510F"/>
    <w:rsid w:val="00C42082"/>
    <w:rsid w:val="00C46C55"/>
    <w:rsid w:val="00C52348"/>
    <w:rsid w:val="00CC1BC2"/>
    <w:rsid w:val="00CF3357"/>
    <w:rsid w:val="00D04059"/>
    <w:rsid w:val="00D13AA6"/>
    <w:rsid w:val="00D30244"/>
    <w:rsid w:val="00D36A57"/>
    <w:rsid w:val="00D52AB1"/>
    <w:rsid w:val="00D65D00"/>
    <w:rsid w:val="00D83467"/>
    <w:rsid w:val="00D8520C"/>
    <w:rsid w:val="00DB247D"/>
    <w:rsid w:val="00DB6FC8"/>
    <w:rsid w:val="00E22CD8"/>
    <w:rsid w:val="00E75330"/>
    <w:rsid w:val="00E94C06"/>
    <w:rsid w:val="00EC0E3C"/>
    <w:rsid w:val="00F04A63"/>
    <w:rsid w:val="00F851F8"/>
    <w:rsid w:val="00F8772A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FERNANDA</cp:lastModifiedBy>
  <cp:revision>4</cp:revision>
  <cp:lastPrinted>2024-09-26T14:23:00Z</cp:lastPrinted>
  <dcterms:created xsi:type="dcterms:W3CDTF">2024-10-18T19:37:00Z</dcterms:created>
  <dcterms:modified xsi:type="dcterms:W3CDTF">2024-10-18T19:42:00Z</dcterms:modified>
</cp:coreProperties>
</file>