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6BE33D37" w14:textId="05D3E91F" w:rsidR="00340AA6" w:rsidRPr="00340AA6" w:rsidRDefault="00764604" w:rsidP="00340AA6">
      <w:pPr>
        <w:ind w:left="2" w:hanging="2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r w:rsidRPr="00340AA6">
        <w:rPr>
          <w:b/>
        </w:rPr>
        <w:t>OBJETO</w:t>
      </w:r>
      <w:r w:rsidRPr="00340AA6">
        <w:rPr>
          <w:rFonts w:ascii="Arial" w:hAnsi="Arial" w:cs="Arial"/>
          <w:sz w:val="22"/>
          <w:szCs w:val="22"/>
        </w:rPr>
        <w:t xml:space="preserve">: </w:t>
      </w:r>
      <w:r w:rsidR="00340AA6" w:rsidRPr="00340AA6">
        <w:rPr>
          <w:rFonts w:eastAsia="Merriweather"/>
          <w:b/>
          <w:bCs/>
          <w:sz w:val="22"/>
          <w:szCs w:val="22"/>
        </w:rPr>
        <w:t>AQUISIÇÃO DE MATERIAL DE INFORMATICA (COMPUTADORES E IMPRESSORAS) VISANDO ATENDER AS NECESSIDADES E DIVERSAS SECRET</w:t>
      </w:r>
      <w:r w:rsidR="00340AA6">
        <w:rPr>
          <w:rFonts w:eastAsia="Merriweather"/>
          <w:b/>
          <w:bCs/>
          <w:sz w:val="22"/>
          <w:szCs w:val="22"/>
        </w:rPr>
        <w:t>A</w:t>
      </w:r>
      <w:r w:rsidR="00340AA6" w:rsidRPr="00340AA6">
        <w:rPr>
          <w:rFonts w:eastAsia="Merriweather"/>
          <w:b/>
          <w:bCs/>
          <w:sz w:val="22"/>
          <w:szCs w:val="22"/>
        </w:rPr>
        <w:t>RIAS DO MUNICPIO DE BANDEIRANTES/PR</w:t>
      </w:r>
      <w:r w:rsidR="00340AA6" w:rsidRPr="00340AA6">
        <w:rPr>
          <w:rFonts w:eastAsia="Merriweather"/>
          <w:b/>
          <w:bCs/>
          <w:color w:val="000000" w:themeColor="text1"/>
          <w:sz w:val="22"/>
          <w:szCs w:val="22"/>
        </w:rPr>
        <w:t>.</w:t>
      </w:r>
    </w:p>
    <w:p w14:paraId="3E0DA519" w14:textId="07B05CEC" w:rsidR="005A09D9" w:rsidRPr="00340AA6" w:rsidRDefault="005A09D9" w:rsidP="00340AA6">
      <w:pPr>
        <w:pStyle w:val="PargrafodaLista"/>
        <w:tabs>
          <w:tab w:val="left" w:pos="0"/>
        </w:tabs>
        <w:suppressAutoHyphens/>
        <w:overflowPunct/>
        <w:autoSpaceDE/>
        <w:autoSpaceDN/>
        <w:adjustRightInd/>
        <w:spacing w:line="360" w:lineRule="auto"/>
        <w:ind w:left="2"/>
        <w:jc w:val="both"/>
        <w:textAlignment w:val="auto"/>
        <w:outlineLvl w:val="0"/>
        <w:rPr>
          <w:rFonts w:eastAsia="Merriweather"/>
          <w:b/>
          <w:sz w:val="22"/>
          <w:szCs w:val="22"/>
        </w:rPr>
      </w:pPr>
    </w:p>
    <w:p w14:paraId="378B103E" w14:textId="676F90AA" w:rsidR="003A0AD4" w:rsidRDefault="003A0AD4" w:rsidP="005A09D9">
      <w:pPr>
        <w:widowControl w:val="0"/>
        <w:spacing w:line="360" w:lineRule="auto"/>
        <w:jc w:val="both"/>
        <w:rPr>
          <w:b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BE24DD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1336CE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340AA6">
              <w:t>X</w:t>
            </w:r>
            <w:r>
              <w:t xml:space="preserve"> 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32A8591" w14:textId="025F0B07" w:rsidR="003A0AD4" w:rsidRDefault="007C052C" w:rsidP="007C0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(  </w:t>
            </w:r>
            <w:r w:rsidR="00340AA6">
              <w:t xml:space="preserve"> </w:t>
            </w:r>
            <w:r w:rsidR="003A0AD4">
              <w:t xml:space="preserve">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825FCD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0E42E3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6CCE4F8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05E46DC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6DBFDF6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4EA872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79D26E4F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 x</w:t>
            </w:r>
            <w:r w:rsidR="003A0AD4">
              <w:t xml:space="preserve">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B12E8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33CF89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75EBA4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19D4EB7A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 x</w:t>
            </w:r>
            <w:r w:rsidR="003A0AD4"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2D768F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AC50572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x</w:t>
            </w:r>
            <w:r w:rsidR="003A0AD4"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C78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1BCD39E" w14:textId="04E74C6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1B4AC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315C21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46ECA03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34B281C" w14:textId="4CE5A42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C71AF5" w14:textId="72768D34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1FD11FC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675534CD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 x</w:t>
            </w:r>
            <w:r w:rsidR="003A0AD4">
              <w:t xml:space="preserve">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2DC4A7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764FEA4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440E3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6F909B5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08217D9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 ) Sim</w:t>
            </w:r>
          </w:p>
          <w:p w14:paraId="5455906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190F41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</w:t>
            </w:r>
            <w:r>
              <w:lastRenderedPageBreak/>
              <w:t>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35F95E5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</w:t>
            </w:r>
          </w:p>
          <w:p w14:paraId="2D75FA02" w14:textId="36C61620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136EF87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3E5E4195" w14:textId="233F2C4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) Não</w:t>
            </w:r>
          </w:p>
          <w:p w14:paraId="4106C1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6381481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3EBDA5E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35398B4B" w14:textId="03380BE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455F96">
              <w:t xml:space="preserve">  </w:t>
            </w:r>
            <w:r>
              <w:t xml:space="preserve"> ) Não</w:t>
            </w:r>
          </w:p>
          <w:p w14:paraId="7BA19B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3A3261D9" w:rsidR="003A0AD4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D6474D" w14:textId="05FFDFB1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 xml:space="preserve">x 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62EB42C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681766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7D626C7" w14:textId="39E081F9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14:paraId="0D9A4E3A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54700E6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455F96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70EE4BE8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x  ) Sim</w:t>
            </w:r>
          </w:p>
          <w:p w14:paraId="4060212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2E4550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2E451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x  ) Sim</w:t>
            </w:r>
          </w:p>
          <w:p w14:paraId="09366F18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850AFD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8EE286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3A0AD4" w14:paraId="360539DC" w14:textId="77777777" w:rsidTr="005B406A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177AC5D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209E5E24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3A0AD4">
              <w:t xml:space="preserve">  ) Sim</w:t>
            </w:r>
          </w:p>
          <w:p w14:paraId="5088476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727428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6DE647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4F24442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3A0AD4">
              <w:t xml:space="preserve">  ) Sim</w:t>
            </w:r>
          </w:p>
          <w:p w14:paraId="059A19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3DE30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E0C32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3D578879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441CA49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9E2DA7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25F349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23EDFDE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C315602" w14:textId="35C804D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BA15CB8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33. A pesquisa de preços contém, no mínimo, I - descrição do objeto a ser contratado; II - identificação do(s) agente(s) responsável(</w:t>
            </w:r>
            <w:proofErr w:type="spellStart"/>
            <w:r>
              <w:t>is</w:t>
            </w:r>
            <w:proofErr w:type="spellEnd"/>
            <w: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79365E2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CB0A19">
              <w:t>x</w:t>
            </w:r>
            <w:r w:rsidR="003A0AD4">
              <w:t xml:space="preserve">  ) Sim</w:t>
            </w:r>
          </w:p>
          <w:p w14:paraId="15704D1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 ) Não</w:t>
            </w:r>
          </w:p>
          <w:p w14:paraId="104A1C5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15BF410E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26E9FA5C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15364C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1955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DE52E9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7AD3B5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64604">
              <w:t xml:space="preserve"> </w:t>
            </w:r>
            <w:r w:rsidR="00CB0A19">
              <w:t>x</w:t>
            </w:r>
            <w:r>
              <w:t xml:space="preserve">  ) Sim</w:t>
            </w:r>
          </w:p>
          <w:p w14:paraId="0E180B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B846567" w14:textId="797E8F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218367A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36. Nos casos de utilização de pesquisa direta com fornecedores, na hipótese em que ela for cabível, foi observado o número mínimo de consulta a três fornecedores ou foram instruídos os autos com as devidas </w:t>
            </w:r>
            <w:r>
              <w:lastRenderedPageBreak/>
              <w:t>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6AC3F67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6CC662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1B0D00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74AF4192" w:rsidR="003A0AD4" w:rsidRDefault="00340AA6" w:rsidP="005B406A">
            <w:pPr>
              <w:widowControl w:val="0"/>
              <w:ind w:hanging="2"/>
              <w:jc w:val="both"/>
            </w:pPr>
            <w:r>
              <w:t xml:space="preserve">Justificativa no analise de preço </w:t>
            </w:r>
          </w:p>
        </w:tc>
      </w:tr>
      <w:tr w:rsidR="003A0AD4" w14:paraId="7333966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4AE5BE5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0F2022">
              <w:t xml:space="preserve"> </w:t>
            </w:r>
            <w:r>
              <w:t xml:space="preserve">  ) Sim</w:t>
            </w:r>
          </w:p>
          <w:p w14:paraId="3739236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60EE7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22DF8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3BB286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>
              <w:t xml:space="preserve">    ) Sim</w:t>
            </w:r>
          </w:p>
          <w:p w14:paraId="18763F8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B7095D6" w14:textId="007A2CE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988DA4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>
              <w:t>e</w:t>
            </w:r>
            <w:proofErr w:type="spellEnd"/>
            <w: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6F6DF20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>
              <w:t xml:space="preserve"> </w:t>
            </w:r>
            <w:r w:rsidR="003A0AD4">
              <w:t xml:space="preserve"> ) Sim</w:t>
            </w:r>
          </w:p>
          <w:p w14:paraId="23FFC1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5BE7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2ECF73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6C90E57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  ) Sim</w:t>
            </w:r>
          </w:p>
          <w:p w14:paraId="268ACB9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229D7" w14:textId="6602709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1BA0AC7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454B15D2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0A0F99CF" w14:textId="637CF9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764604">
              <w:t xml:space="preserve">   </w:t>
            </w:r>
            <w:r>
              <w:t xml:space="preserve">  ) Não</w:t>
            </w:r>
          </w:p>
          <w:p w14:paraId="138C638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58ECB331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36AB94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 w:rsidR="00455F96">
              <w:t xml:space="preserve">  </w:t>
            </w:r>
            <w:r>
              <w:t>) Sim</w:t>
            </w:r>
          </w:p>
          <w:p w14:paraId="4C853AD8" w14:textId="556EAF4E" w:rsidR="003A0AD4" w:rsidRDefault="00CB0A19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3A0AD4">
              <w:t xml:space="preserve">  ) Não</w:t>
            </w:r>
          </w:p>
          <w:p w14:paraId="2E2F5B3E" w14:textId="028A5A25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3A0AD4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8F5066B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AED4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22E1CDE" w14:textId="621B70E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3A0AD4">
              <w:t xml:space="preserve"> </w:t>
            </w:r>
            <w:r w:rsidR="00CB0A19">
              <w:t>x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</w:tbl>
    <w:p w14:paraId="7B0408B1" w14:textId="77777777" w:rsidR="003A0AD4" w:rsidRDefault="003A0AD4" w:rsidP="003A0AD4">
      <w:pPr>
        <w:widowControl w:val="0"/>
        <w:spacing w:line="276" w:lineRule="auto"/>
        <w:ind w:hanging="2"/>
      </w:pPr>
    </w:p>
    <w:p w14:paraId="64CE55A0" w14:textId="77777777" w:rsidR="003A0AD4" w:rsidRDefault="003A0AD4" w:rsidP="003A0AD4">
      <w:pPr>
        <w:widowControl w:val="0"/>
        <w:spacing w:line="276" w:lineRule="auto"/>
        <w:ind w:hanging="2"/>
      </w:pPr>
    </w:p>
    <w:p w14:paraId="03359079" w14:textId="77777777" w:rsidR="003A0AD4" w:rsidRDefault="003A0AD4" w:rsidP="003A0AD4">
      <w:pPr>
        <w:widowControl w:val="0"/>
        <w:spacing w:line="276" w:lineRule="auto"/>
        <w:ind w:hanging="2"/>
      </w:pPr>
    </w:p>
    <w:p w14:paraId="38F41B9E" w14:textId="77777777" w:rsidR="003A0AD4" w:rsidRDefault="003A0AD4" w:rsidP="003A0AD4">
      <w:pPr>
        <w:widowControl w:val="0"/>
        <w:spacing w:line="276" w:lineRule="auto"/>
        <w:ind w:hanging="2"/>
      </w:pPr>
    </w:p>
    <w:p w14:paraId="431CF8F8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70492A1C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41E16EE8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00688224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445559F9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19697675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 e Prazos de Sigilo – Art. 23, que:</w:t>
      </w:r>
    </w:p>
    <w:p w14:paraId="7DF235ED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500BB39E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BF68B3D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6C489101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36EFB84B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257DE280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69670663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306D0584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617974F7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0B8903AC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38297F2" w14:textId="77777777" w:rsidR="00E94C06" w:rsidRDefault="00E94C06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E2C0EE1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0B43B3D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3F58153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49B04701" w14:textId="7DD46FAB" w:rsidR="000F2022" w:rsidRDefault="003D3383" w:rsidP="00D36A57">
      <w:pPr>
        <w:spacing w:line="36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CFB57" wp14:editId="335E29A1">
                <wp:simplePos x="0" y="0"/>
                <wp:positionH relativeFrom="column">
                  <wp:posOffset>1122045</wp:posOffset>
                </wp:positionH>
                <wp:positionV relativeFrom="paragraph">
                  <wp:posOffset>263525</wp:posOffset>
                </wp:positionV>
                <wp:extent cx="4019550" cy="57150"/>
                <wp:effectExtent l="0" t="0" r="0" b="0"/>
                <wp:wrapNone/>
                <wp:docPr id="2" name="Men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06EA7" id="Menos 2" o:spid="_x0000_s1026" style="position:absolute;margin-left:88.35pt;margin-top:20.75pt;width:316.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195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" path="m532791,21854r2953968,l3486759,35296r-2953968,l532791,21854xe" fillcolor="#5b9bd5 [3204]" strokecolor="#1f4d78 [1604]" strokeweight="1pt">
                <v:stroke joinstyle="miter"/>
                <v:path arrowok="t" o:connecttype="custom" o:connectlocs="532791,21854;3486759,21854;3486759,35296;532791,35296;532791,21854" o:connectangles="0,0,0,0,0"/>
              </v:shape>
            </w:pict>
          </mc:Fallback>
        </mc:AlternateContent>
      </w:r>
    </w:p>
    <w:p w14:paraId="0E73FCF8" w14:textId="77777777" w:rsidR="003D3383" w:rsidRDefault="003D3383" w:rsidP="003D3383">
      <w:pPr>
        <w:ind w:left="2" w:hanging="2"/>
        <w:jc w:val="center"/>
        <w:rPr>
          <w:sz w:val="18"/>
          <w:szCs w:val="18"/>
        </w:rPr>
      </w:pPr>
    </w:p>
    <w:p w14:paraId="12BC5F4F" w14:textId="77777777" w:rsidR="003D3383" w:rsidRDefault="003D3383" w:rsidP="003D3383">
      <w:pPr>
        <w:widowControl w:val="0"/>
        <w:tabs>
          <w:tab w:val="left" w:pos="567"/>
        </w:tabs>
        <w:jc w:val="center"/>
        <w:rPr>
          <w:rFonts w:eastAsia="Merriweather"/>
          <w:b/>
          <w:sz w:val="18"/>
          <w:szCs w:val="18"/>
        </w:rPr>
      </w:pPr>
      <w:r>
        <w:rPr>
          <w:rFonts w:eastAsia="Merriweather"/>
          <w:b/>
          <w:sz w:val="18"/>
          <w:szCs w:val="18"/>
        </w:rPr>
        <w:t>CLAUDIA JANZ DA SILVA</w:t>
      </w:r>
    </w:p>
    <w:p w14:paraId="5FA1096D" w14:textId="77777777" w:rsidR="003D3383" w:rsidRDefault="003D3383" w:rsidP="003D3383">
      <w:pPr>
        <w:ind w:left="2" w:hanging="2"/>
        <w:jc w:val="center"/>
        <w:rPr>
          <w:rFonts w:eastAsia="SimSun"/>
          <w:kern w:val="3"/>
          <w:sz w:val="18"/>
          <w:szCs w:val="18"/>
          <w:lang w:eastAsia="zh-CN" w:bidi="hi-IN"/>
        </w:rPr>
      </w:pPr>
      <w:r>
        <w:rPr>
          <w:rFonts w:eastAsia="SimSun"/>
          <w:kern w:val="3"/>
          <w:sz w:val="18"/>
          <w:szCs w:val="18"/>
          <w:lang w:eastAsia="zh-CN" w:bidi="hi-IN"/>
        </w:rPr>
        <w:t xml:space="preserve">      Secretária de Administração</w:t>
      </w:r>
    </w:p>
    <w:p w14:paraId="154A82BF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86A30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28D205E9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C39878D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11DFC5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56C28792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7FD7C14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sectPr w:rsidR="003A0AD4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37A12" w14:textId="77777777" w:rsidR="00733392" w:rsidRDefault="00733392">
      <w:r>
        <w:separator/>
      </w:r>
    </w:p>
  </w:endnote>
  <w:endnote w:type="continuationSeparator" w:id="0">
    <w:p w14:paraId="4CBCC3D0" w14:textId="77777777" w:rsidR="00733392" w:rsidRDefault="0073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340AA6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340AA6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0434" w14:textId="77777777" w:rsidR="00733392" w:rsidRDefault="00733392">
      <w:r>
        <w:separator/>
      </w:r>
    </w:p>
  </w:footnote>
  <w:footnote w:type="continuationSeparator" w:id="0">
    <w:p w14:paraId="07923025" w14:textId="77777777" w:rsidR="00733392" w:rsidRDefault="00733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340AA6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340AA6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340AA6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340AA6" w:rsidRPr="003A0AD4" w:rsidRDefault="00340AA6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3A0AD4" w:rsidRDefault="00BC31D2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800874335" r:id="rId2"/>
            </w:object>
          </w:r>
        </w:p>
        <w:p w14:paraId="46EEFBD4" w14:textId="77777777" w:rsidR="00340AA6" w:rsidRDefault="00340AA6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340AA6" w:rsidRPr="00C32302" w:rsidRDefault="00340AA6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340AA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340AA6" w:rsidRDefault="00340AA6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5C7826" w:rsidRDefault="00BC31D2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340AA6" w:rsidRPr="005C7826" w:rsidRDefault="00340AA6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2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917792384">
    <w:abstractNumId w:val="2"/>
  </w:num>
  <w:num w:numId="2" w16cid:durableId="891619727">
    <w:abstractNumId w:val="0"/>
  </w:num>
  <w:num w:numId="3" w16cid:durableId="1092818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93290"/>
    <w:rsid w:val="000F2022"/>
    <w:rsid w:val="00194359"/>
    <w:rsid w:val="00203697"/>
    <w:rsid w:val="00340AA6"/>
    <w:rsid w:val="00375F29"/>
    <w:rsid w:val="003A0AD4"/>
    <w:rsid w:val="003C6511"/>
    <w:rsid w:val="003D3383"/>
    <w:rsid w:val="00455F96"/>
    <w:rsid w:val="004A2DCE"/>
    <w:rsid w:val="00534DEC"/>
    <w:rsid w:val="00550F26"/>
    <w:rsid w:val="005A09D9"/>
    <w:rsid w:val="006B139C"/>
    <w:rsid w:val="00733392"/>
    <w:rsid w:val="007520A5"/>
    <w:rsid w:val="007559A5"/>
    <w:rsid w:val="00764604"/>
    <w:rsid w:val="007C052C"/>
    <w:rsid w:val="00827CEA"/>
    <w:rsid w:val="0087211A"/>
    <w:rsid w:val="00875DF6"/>
    <w:rsid w:val="0090716C"/>
    <w:rsid w:val="009829B8"/>
    <w:rsid w:val="009A73E1"/>
    <w:rsid w:val="00B27C39"/>
    <w:rsid w:val="00B446FF"/>
    <w:rsid w:val="00B96081"/>
    <w:rsid w:val="00BC31D2"/>
    <w:rsid w:val="00C46C55"/>
    <w:rsid w:val="00C546D8"/>
    <w:rsid w:val="00CB0A19"/>
    <w:rsid w:val="00D36A57"/>
    <w:rsid w:val="00D65D00"/>
    <w:rsid w:val="00E75330"/>
    <w:rsid w:val="00E94C06"/>
    <w:rsid w:val="00F0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2067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8</cp:revision>
  <cp:lastPrinted>2024-05-09T13:39:00Z</cp:lastPrinted>
  <dcterms:created xsi:type="dcterms:W3CDTF">2024-05-09T13:40:00Z</dcterms:created>
  <dcterms:modified xsi:type="dcterms:W3CDTF">2025-02-12T17:06:00Z</dcterms:modified>
</cp:coreProperties>
</file>