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63DA" w:rsidRDefault="00A34616" w14:paraId="4C7E2707" w14:textId="77777777">
      <w:pPr>
        <w:widowControl w:val="0"/>
        <w:spacing w:line="276" w:lineRule="auto"/>
        <w:ind w:hanging="2"/>
        <w:jc w:val="center"/>
        <w:rPr>
          <w:b/>
          <w:sz w:val="24"/>
        </w:rPr>
      </w:pPr>
      <w:r>
        <w:rPr>
          <w:b/>
          <w:sz w:val="24"/>
        </w:rPr>
        <w:t>LISTA DE VERIFICAÇÃO</w:t>
      </w:r>
    </w:p>
    <w:p w:rsidR="008963DA" w:rsidRDefault="008963DA" w14:paraId="672A6659" w14:textId="77777777">
      <w:pPr>
        <w:widowControl w:val="0"/>
        <w:spacing w:line="276" w:lineRule="auto"/>
        <w:ind w:hanging="2"/>
        <w:jc w:val="center"/>
        <w:rPr>
          <w:b/>
          <w:sz w:val="24"/>
        </w:rPr>
      </w:pPr>
    </w:p>
    <w:p w:rsidR="008963DA" w:rsidRDefault="00A34616" w14:paraId="0395435E" w14:textId="77777777">
      <w:pPr>
        <w:widowControl w:val="0"/>
        <w:spacing w:line="360" w:lineRule="auto"/>
        <w:ind w:hanging="2"/>
        <w:jc w:val="both"/>
        <w:rPr>
          <w:b/>
        </w:rPr>
      </w:pPr>
      <w:r w:rsidRPr="1167E46E" w:rsidR="00A34616">
        <w:rPr>
          <w:b w:val="1"/>
          <w:bCs w:val="1"/>
        </w:rPr>
        <w:t>PROCESSO ADM.:______/________.</w:t>
      </w:r>
    </w:p>
    <w:p w:rsidR="1167E46E" w:rsidP="1167E46E" w:rsidRDefault="1167E46E" w14:paraId="4F9820A6" w14:textId="4F7464D6">
      <w:pPr>
        <w:pStyle w:val="Subttulo"/>
        <w:ind w:firstLine="3119"/>
        <w:jc w:val="both"/>
        <w:rPr>
          <w:b w:val="1"/>
          <w:bCs w:val="1"/>
        </w:rPr>
      </w:pPr>
    </w:p>
    <w:p w:rsidR="00A34616" w:rsidP="7C624602" w:rsidRDefault="00A34616" w14:paraId="24B24D7C" w14:textId="18F9085B">
      <w:pPr>
        <w:pStyle w:val="Subttulo"/>
        <w:widowControl w:val="1"/>
        <w:spacing w:before="0" w:after="60" w:line="240" w:lineRule="auto"/>
        <w:ind w:firstLine="2835"/>
        <w:jc w:val="both"/>
        <w:rPr>
          <w:noProof w:val="0"/>
          <w:lang w:val="pt-BR"/>
        </w:rPr>
      </w:pPr>
      <w:r w:rsidRPr="7C624602" w:rsidR="00A34616">
        <w:rPr>
          <w:b w:val="1"/>
          <w:bCs w:val="1"/>
        </w:rPr>
        <w:t>OBJETO:</w:t>
      </w:r>
      <w:bookmarkStart w:name="_Hlk67548737" w:id="0"/>
      <w:bookmarkStart w:name="_Hlk63317831" w:id="1"/>
      <w:bookmarkStart w:name="_Hlk63777971" w:id="2"/>
      <w:r w:rsidRPr="7C624602" w:rsidR="00A34616">
        <w:rPr>
          <w:b w:val="1"/>
          <w:bCs w:val="1"/>
        </w:rPr>
        <w:t xml:space="preserve"> </w:t>
      </w:r>
      <w:bookmarkEnd w:id="0"/>
      <w:bookmarkEnd w:id="1"/>
      <w:bookmarkEnd w:id="2"/>
      <w:r w:rsidRPr="7C624602" w:rsidR="22DBD6AF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sz w:val="24"/>
          <w:szCs w:val="24"/>
          <w:u w:val="single"/>
          <w:lang w:val="pt-BR"/>
        </w:rPr>
        <w:t>Aquisição de Cobertores e Colchões de solteiro, para distribuição a indivíduos e famílias em situação de risco e/ou vulnerabilidade social atendidas pela Secretária de Assistência Social e Assuntos da Família.</w:t>
      </w:r>
    </w:p>
    <w:p w:rsidR="7C624602" w:rsidP="7C624602" w:rsidRDefault="7C624602" w14:paraId="0926FBB4" w14:textId="5599B0F1">
      <w:pPr>
        <w:pStyle w:val="Subttulo"/>
        <w:ind w:firstLine="3119"/>
        <w:jc w:val="both"/>
        <w:rPr>
          <w:b w:val="1"/>
          <w:bCs w:val="1"/>
        </w:rPr>
      </w:pPr>
    </w:p>
    <w:p w:rsidR="008963DA" w:rsidRDefault="008963DA" w14:paraId="0A37501D" w14:textId="77777777">
      <w:pPr>
        <w:widowControl w:val="0"/>
        <w:spacing w:line="360" w:lineRule="auto"/>
        <w:jc w:val="both"/>
        <w:rPr>
          <w:b/>
        </w:rPr>
      </w:pPr>
    </w:p>
    <w:tbl>
      <w:tblPr>
        <w:tblStyle w:val="NormalTable0"/>
        <w:tblW w:w="9700" w:type="dxa"/>
        <w:tblInd w:w="-110" w:type="dxa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8963DA" w:rsidTr="7C624602" w14:paraId="4F76578D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33E5F309" w14:textId="77777777">
            <w:pPr>
              <w:widowControl w:val="0"/>
              <w:ind w:left="-110"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6433C6F9" w14:textId="77777777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79B0532B" w14:textId="77777777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8963DA" w:rsidTr="7C624602" w14:paraId="5ED2AB9E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5DAB6C7B" w14:textId="77777777">
            <w:pPr>
              <w:widowControl w:val="0"/>
              <w:spacing w:line="276" w:lineRule="auto"/>
              <w:ind w:hanging="2"/>
              <w:jc w:val="both"/>
            </w:pPr>
          </w:p>
          <w:p w:rsidR="008963DA" w:rsidRDefault="00A34616" w14:paraId="2EDB73FB" w14:textId="77777777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77CD2DA4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459BD764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00073DDB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02EB378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71781A64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26340C9E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03D0AC3A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21AFED4C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480BFE8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(     ) Não se aplica 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6A05A80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41689B73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0A881A49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7B3D944D" w14:textId="77777777">
            <w:pPr>
              <w:widowControl w:val="0"/>
              <w:spacing w:line="276" w:lineRule="auto"/>
              <w:ind w:hanging="2"/>
              <w:jc w:val="both"/>
            </w:pPr>
            <w:r>
              <w:t>( X  ) Sim</w:t>
            </w:r>
          </w:p>
          <w:p w:rsidR="008963DA" w:rsidRDefault="00A34616" w14:paraId="31BA9E83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2778C5C7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5A39BBE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23843F6E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5E1BEA6B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1AE971A1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(  X  ) </w:t>
            </w:r>
            <w:r>
              <w:t>Sim</w:t>
            </w:r>
          </w:p>
          <w:p w:rsidR="008963DA" w:rsidRDefault="00A34616" w14:paraId="30B47F17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34E697A9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41C8F39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470D522D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5CD957AD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401A8B86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7786226A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255F61A6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72A3D3E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7128E741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52AF052B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  <w:r>
              <w:rPr>
                <w:vertAlign w:val="superscript"/>
              </w:rPr>
              <w:t>1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67FA48D0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) Sim</w:t>
            </w:r>
          </w:p>
          <w:p w:rsidR="008963DA" w:rsidRDefault="00A34616" w14:paraId="1ADE2C97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151B891A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0D0B940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3F501AB2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640B1C7C" w14:textId="77777777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034D6042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09A3752A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4F72A34B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0E27B00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2629190A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1E20B8C0" w14:textId="77777777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0A43BA66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157E6DAB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339123AA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60061E4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46A07BC1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3598B55D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18582A2A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705B319A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0E1BF6C8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(     ) </w:t>
            </w:r>
            <w:r>
              <w:t>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44EAFD9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234D2BF3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4A98FBE3" w14:textId="77777777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3AB95B94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1A39A7D4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2ADEBFE7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4B94D5A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5A46356C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73500060" w14:textId="77777777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  <w:r>
              <w:rPr>
                <w:vertAlign w:val="superscript"/>
              </w:rPr>
              <w:t>2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4777E231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:rsidR="008963DA" w:rsidRDefault="00A34616" w14:paraId="68E4D687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1A5CBB39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3DEEC66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00C5347A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14C4250E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12. </w:t>
            </w:r>
            <w:r>
              <w:t>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309D43F5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0F252592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0434A416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3656B9A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13A73CA1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4702E523" w14:textId="77777777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7DF4E20F" w14:textId="2BF6FA0A">
            <w:pPr>
              <w:widowControl w:val="0"/>
              <w:spacing w:line="276" w:lineRule="auto"/>
              <w:ind w:hanging="2"/>
              <w:jc w:val="both"/>
            </w:pPr>
            <w:r w:rsidR="00A34616">
              <w:rPr/>
              <w:t>( X</w:t>
            </w:r>
            <w:r w:rsidR="00A34616">
              <w:rPr/>
              <w:t xml:space="preserve">  </w:t>
            </w:r>
            <w:r w:rsidR="00A34616">
              <w:rPr/>
              <w:t xml:space="preserve"> )</w:t>
            </w:r>
            <w:r w:rsidR="00A34616">
              <w:rPr/>
              <w:t xml:space="preserve"> Sim</w:t>
            </w:r>
          </w:p>
          <w:p w:rsidR="008963DA" w:rsidRDefault="00A34616" w14:paraId="1D6AC07B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2521CB63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45FB0818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5C0674C2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5FAB261A" w14:textId="77777777">
            <w:pPr>
              <w:widowControl w:val="0"/>
              <w:spacing w:line="276" w:lineRule="auto"/>
              <w:ind w:hanging="2"/>
              <w:jc w:val="both"/>
            </w:pPr>
            <w:r>
              <w:t>14. Foi certificada a utilização do Sistema TR Digital ou o atendimento das regras e procedimentos da IN ME 81/2022?</w:t>
            </w:r>
            <w:r>
              <w:rPr>
                <w:vertAlign w:val="superscript"/>
              </w:rPr>
              <w:t>3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09F59356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:rsidR="008963DA" w:rsidRDefault="00A34616" w14:paraId="67571292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12E78B0D" w14:textId="77777777">
            <w:pPr>
              <w:widowControl w:val="0"/>
              <w:spacing w:line="276" w:lineRule="auto"/>
              <w:ind w:hanging="2"/>
              <w:jc w:val="both"/>
            </w:pPr>
            <w:r>
              <w:t>( X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049F31C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7E9216A0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75325ED4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15. Foi certificada a utilização de modelos de minutas padronizados de Termos de </w:t>
            </w:r>
            <w:r>
              <w:t>Referência da Advocacia-Geral União, ou as contidas no catálogo eletrônico de padronização, ou houve justificativa para sua não utilização?</w:t>
            </w:r>
            <w:r>
              <w:rPr>
                <w:vertAlign w:val="superscript"/>
              </w:rPr>
              <w:t>4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50B6B26A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:rsidR="008963DA" w:rsidRDefault="00A34616" w14:paraId="7A14F799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15BBDF9A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5312826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3C84396D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23A74DFB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16. Sendo adotado modelo padronizado de termo de </w:t>
            </w:r>
            <w:r>
              <w:t>referência, foram justificadas e destacadas visualmente, no processo, eventuais alterações?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7DE99EF4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48E28A06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75A0D38B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62486C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6211AD56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1ED9D814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40F1A141" w14:textId="77777777">
            <w:pPr>
              <w:widowControl w:val="0"/>
              <w:spacing w:line="276" w:lineRule="auto"/>
              <w:ind w:hanging="2"/>
              <w:jc w:val="both"/>
            </w:pPr>
            <w:r>
              <w:t>( X   ) Sim</w:t>
            </w:r>
          </w:p>
          <w:p w:rsidR="008963DA" w:rsidRDefault="00A34616" w14:paraId="7DD31320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28AE0DF9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4101652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4A30B98D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514FD4C1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6EFCA2B6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5D9183F4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13F21163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4B99056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2BA3FF61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37FB6C4E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6B203983" w14:textId="796DC4E0">
            <w:pPr>
              <w:widowControl w:val="0"/>
              <w:spacing w:line="276" w:lineRule="auto"/>
              <w:ind w:hanging="2"/>
              <w:jc w:val="both"/>
            </w:pPr>
            <w:r w:rsidR="00A34616">
              <w:rPr/>
              <w:t xml:space="preserve">( </w:t>
            </w:r>
            <w:r w:rsidR="1E6EB56A">
              <w:rPr/>
              <w:t xml:space="preserve"> x</w:t>
            </w:r>
            <w:r w:rsidR="00A34616">
              <w:rPr/>
              <w:t xml:space="preserve">  ) Sim</w:t>
            </w:r>
          </w:p>
          <w:p w:rsidR="008963DA" w:rsidRDefault="00A34616" w14:paraId="72FE2BD9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(     ) </w:t>
            </w:r>
            <w:r>
              <w:t>Não</w:t>
            </w:r>
          </w:p>
          <w:p w:rsidR="008963DA" w:rsidRDefault="00A34616" w14:paraId="46A4F132" w14:textId="011885BA">
            <w:pPr>
              <w:widowControl w:val="0"/>
              <w:spacing w:line="276" w:lineRule="auto"/>
              <w:ind w:hanging="2"/>
              <w:jc w:val="both"/>
            </w:pPr>
            <w:r w:rsidR="00A34616">
              <w:rPr/>
              <w:t xml:space="preserve">(   </w:t>
            </w:r>
            <w:r w:rsidR="00A34616">
              <w:rPr/>
              <w:t>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1299C43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5CFFD82E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3CD06C54" w14:textId="77777777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512C3774" w14:textId="5CE3737B">
            <w:pPr>
              <w:widowControl w:val="0"/>
              <w:spacing w:line="276" w:lineRule="auto"/>
              <w:ind w:hanging="2"/>
              <w:jc w:val="both"/>
            </w:pPr>
            <w:r w:rsidR="00A34616">
              <w:rPr/>
              <w:t>(   ) Sim</w:t>
            </w:r>
          </w:p>
          <w:p w:rsidR="008963DA" w:rsidRDefault="00A34616" w14:paraId="5D34C277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) Não</w:t>
            </w:r>
          </w:p>
          <w:p w:rsidR="008963DA" w:rsidRDefault="00A34616" w14:paraId="480CD32C" w14:textId="2BFFE199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="00A34616">
              <w:rPr/>
              <w:t xml:space="preserve">(  </w:t>
            </w:r>
            <w:proofErr w:type="gramEnd"/>
            <w:r w:rsidR="00A34616">
              <w:rPr/>
              <w:t xml:space="preserve"> </w:t>
            </w:r>
            <w:r w:rsidR="148396D8">
              <w:rPr/>
              <w:t>x</w:t>
            </w:r>
            <w:r w:rsidR="00A34616">
              <w:rPr/>
              <w:t xml:space="preserve">  )</w:t>
            </w:r>
            <w:r w:rsidR="00A34616">
              <w:rPr/>
              <w:t xml:space="preserve">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4DDBEF00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2C3AAAF8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06502FFA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ou econômica e o </w:t>
            </w:r>
            <w:r>
              <w:t>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7BC28A90" w14:textId="050B561A">
            <w:pPr>
              <w:widowControl w:val="0"/>
              <w:spacing w:line="276" w:lineRule="auto"/>
              <w:ind w:hanging="2"/>
              <w:jc w:val="both"/>
            </w:pPr>
            <w:r w:rsidR="00A34616">
              <w:rPr/>
              <w:t>(  ) Sim</w:t>
            </w:r>
          </w:p>
          <w:p w:rsidR="008963DA" w:rsidRDefault="00A34616" w14:paraId="0B442DED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153B75A3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3461D77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51F8D251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268891A9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22. Ao final da elaboração do TR, houve avaliação quanto à necessidade de classificá-lo nos termos da Lei nº </w:t>
            </w:r>
            <w:r>
              <w:t>12.527, de 18 de novembro de 2011?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3593B235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:rsidR="008963DA" w:rsidRDefault="00A34616" w14:paraId="223EF26A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Não</w:t>
            </w:r>
          </w:p>
          <w:p w:rsidR="008963DA" w:rsidRDefault="00A34616" w14:paraId="2B729652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3CF2D8B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3CC2D59E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5066D652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23. Foram utilizados os modelos padronizados de instrumentos contratuais da Procuradoria Geral do Município, com eventuais alterações destacadas e </w:t>
            </w:r>
            <w:r>
              <w:t>justificadas?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71E7AF25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7A404E7F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40D5313F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0FB78278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01B4805A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6CD6C9F6" w14:textId="77777777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30E5C84E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Sim</w:t>
            </w:r>
          </w:p>
          <w:p w:rsidR="008963DA" w:rsidRDefault="00A34616" w14:paraId="38980561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0136A1F4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1FC3994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158CF448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668250DE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3B9C1569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:rsidR="008963DA" w:rsidRDefault="00A34616" w14:paraId="6ED6F570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24B8C262" w14:textId="77777777">
            <w:pPr>
              <w:widowControl w:val="0"/>
              <w:spacing w:line="276" w:lineRule="auto"/>
              <w:ind w:hanging="2"/>
              <w:jc w:val="both"/>
            </w:pPr>
            <w:r>
              <w:t>( X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0562CB0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7121809D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055D6440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26. Caso o objeto contemple itens com valores inferiores a </w:t>
            </w:r>
            <w:r>
              <w:t>R$80.000,00, eles foram destinados às ME/EPPs e entidades equiparadas ou foi justificada a não exclusividade?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7A44D4B1" w14:textId="77777777">
            <w:pPr>
              <w:widowControl w:val="0"/>
              <w:spacing w:line="276" w:lineRule="auto"/>
              <w:ind w:hanging="2"/>
              <w:jc w:val="both"/>
            </w:pPr>
            <w:r>
              <w:t>( X   ) Sim</w:t>
            </w:r>
          </w:p>
          <w:p w:rsidR="008963DA" w:rsidRDefault="00A34616" w14:paraId="2BCE4E66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64AA0072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34CE0A4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4D13D514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50715271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4DC86FD9" w14:textId="77777777">
            <w:pPr>
              <w:widowControl w:val="0"/>
              <w:spacing w:line="276" w:lineRule="auto"/>
              <w:ind w:hanging="2"/>
              <w:jc w:val="both"/>
            </w:pPr>
            <w:r>
              <w:t>( X   ) Sim</w:t>
            </w:r>
          </w:p>
          <w:p w:rsidR="008963DA" w:rsidRDefault="00A34616" w14:paraId="16CD07D6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27372EBE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62EBF3C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0AD1F6D4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5D45B2CA" w14:textId="77777777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49C51503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:rsidR="008963DA" w:rsidRDefault="00A34616" w14:paraId="74DB7990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524D6BE1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6D98A12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63DA" w:rsidTr="7C624602" w14:paraId="1F439813" w14:textId="77777777">
        <w:tc>
          <w:tcPr>
            <w:tcW w:w="49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6A3BFD40" w14:textId="77777777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A34616" w14:paraId="540FC5F2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:rsidR="008963DA" w:rsidRDefault="00A34616" w14:paraId="703DE822" w14:textId="77777777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:rsidR="008963DA" w:rsidRDefault="00A34616" w14:paraId="562DDBF1" w14:textId="77777777">
            <w:pPr>
              <w:widowControl w:val="0"/>
              <w:spacing w:line="276" w:lineRule="auto"/>
              <w:ind w:hanging="2"/>
              <w:jc w:val="both"/>
            </w:pPr>
            <w:r>
              <w:t>(  X  ) Não se aplica</w:t>
            </w:r>
          </w:p>
        </w:tc>
        <w:tc>
          <w:tcPr>
            <w:tcW w:w="20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3DA" w:rsidRDefault="008963DA" w14:paraId="2946DB8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:rsidR="008963DA" w:rsidRDefault="008963DA" w14:paraId="5997CC1D" w14:textId="77777777">
      <w:pPr>
        <w:widowControl w:val="0"/>
        <w:spacing w:line="276" w:lineRule="auto"/>
        <w:ind w:hanging="2"/>
        <w:jc w:val="both"/>
      </w:pPr>
    </w:p>
    <w:p w:rsidR="008963DA" w:rsidRDefault="00A34616" w14:paraId="4DA85C3E" w14:textId="77777777">
      <w:pPr>
        <w:widowControl w:val="0"/>
        <w:spacing w:line="276" w:lineRule="auto"/>
        <w:ind w:hanging="2"/>
        <w:jc w:val="both"/>
      </w:pPr>
      <w:r>
        <w:t>Observações:</w:t>
      </w:r>
    </w:p>
    <w:p w:rsidR="008963DA" w:rsidRDefault="00A34616" w14:paraId="61C984FF" w14:textId="77777777">
      <w:pPr>
        <w:pStyle w:val="PargrafodaLista"/>
        <w:widowControl w:val="0"/>
        <w:numPr>
          <w:ilvl w:val="0"/>
          <w:numId w:val="1"/>
        </w:numPr>
        <w:spacing w:line="276" w:lineRule="auto"/>
        <w:ind w:left="718" w:hanging="360"/>
        <w:jc w:val="both"/>
      </w:pPr>
      <w:r>
        <w:t xml:space="preserve">Art. 15. Até a completa disponibilização do Sistema TR digital, para atendimento ao disposto nesta </w:t>
      </w:r>
      <w:r>
        <w:t>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:rsidR="008963DA" w:rsidRDefault="00A34616" w14:paraId="29946EEC" w14:textId="77777777">
      <w:pPr>
        <w:pStyle w:val="PargrafodaLista"/>
        <w:widowControl w:val="0"/>
        <w:numPr>
          <w:ilvl w:val="0"/>
          <w:numId w:val="1"/>
        </w:numPr>
        <w:spacing w:line="276" w:lineRule="auto"/>
        <w:ind w:left="718" w:hanging="360"/>
        <w:jc w:val="both"/>
      </w:pPr>
      <w:r>
        <w:t>Não foi utilizado a minuta padronizada do Termo de Referência da Advocacia-Geral União, visto que o modelo utilizado no município foi disponibilizado pela Procuradoria Jurídica.</w:t>
      </w:r>
    </w:p>
    <w:p w:rsidR="008963DA" w:rsidRDefault="00A34616" w14:paraId="5DA257D9" w14:textId="77777777">
      <w:pPr>
        <w:widowControl w:val="0"/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:rsidR="008963DA" w:rsidRDefault="00A34616" w14:paraId="52C683C6" w14:textId="77777777">
      <w:pPr>
        <w:pStyle w:val="PargrafodaLista"/>
        <w:widowControl w:val="0"/>
        <w:spacing w:line="276" w:lineRule="auto"/>
        <w:ind w:left="358"/>
        <w:jc w:val="both"/>
      </w:pPr>
      <w:r>
        <w:t>A Lei nº 12.527, de 18 de novembro de 2011. traz em sua Seção II: Da Classificação da Informação quanto ao Grau e Prazos de Sigilo – Art. 23, que:</w:t>
      </w:r>
    </w:p>
    <w:p w:rsidR="008963DA" w:rsidRDefault="00A34616" w14:paraId="6B285723" w14:textId="77777777">
      <w:pPr>
        <w:widowControl w:val="0"/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:rsidR="008963DA" w:rsidRDefault="00A34616" w14:paraId="6B65ADB8" w14:textId="77777777">
      <w:pPr>
        <w:pStyle w:val="PargrafodaLista"/>
        <w:widowControl w:val="0"/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:rsidR="008963DA" w:rsidRDefault="00A34616" w14:paraId="01C9E6F7" w14:textId="77777777">
      <w:pPr>
        <w:pStyle w:val="PargrafodaLista"/>
        <w:widowControl w:val="0"/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:rsidR="008963DA" w:rsidRDefault="00A34616" w14:paraId="74B22E11" w14:textId="77777777">
      <w:pPr>
        <w:pStyle w:val="PargrafodaLista"/>
        <w:widowControl w:val="0"/>
        <w:spacing w:line="276" w:lineRule="auto"/>
        <w:ind w:left="358"/>
        <w:jc w:val="both"/>
      </w:pPr>
      <w:r>
        <w:t>III - pôr em risco a vida, a segurança ou a saúde da população;</w:t>
      </w:r>
    </w:p>
    <w:p w:rsidR="008963DA" w:rsidRDefault="00A34616" w14:paraId="5945434C" w14:textId="77777777">
      <w:pPr>
        <w:pStyle w:val="PargrafodaLista"/>
        <w:widowControl w:val="0"/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:rsidR="008963DA" w:rsidRDefault="00A34616" w14:paraId="2C49FEEE" w14:textId="77777777">
      <w:pPr>
        <w:pStyle w:val="PargrafodaLista"/>
        <w:widowControl w:val="0"/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:rsidR="008963DA" w:rsidRDefault="00A34616" w14:paraId="5161E87F" w14:textId="77777777">
      <w:pPr>
        <w:pStyle w:val="PargrafodaLista"/>
        <w:widowControl w:val="0"/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:rsidR="008963DA" w:rsidRDefault="00A34616" w14:paraId="38F9B01F" w14:textId="77777777">
      <w:pPr>
        <w:pStyle w:val="PargrafodaLista"/>
        <w:widowControl w:val="0"/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:rsidR="008963DA" w:rsidRDefault="00A34616" w14:paraId="7DBA2030" w14:textId="77777777">
      <w:pPr>
        <w:pStyle w:val="PargrafodaLista"/>
        <w:widowControl w:val="0"/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:rsidR="008963DA" w:rsidRDefault="00A34616" w14:paraId="3385D60F" w14:textId="77777777">
      <w:pPr>
        <w:pStyle w:val="PargrafodaLista"/>
        <w:widowControl w:val="0"/>
        <w:spacing w:line="276" w:lineRule="auto"/>
        <w:ind w:left="358"/>
        <w:jc w:val="both"/>
      </w:pPr>
      <w:r>
        <w:t xml:space="preserve">Art. 24. A informação em poder dos órgãos e entidades públicas, observado o seu teor e em razão de sua </w:t>
      </w:r>
      <w:r>
        <w:t>imprescindibilidade à segurança da sociedade ou do Estado, poderá ser classificada como ultrassecreta, secreta ou reservada.</w:t>
      </w:r>
    </w:p>
    <w:p w:rsidR="008963DA" w:rsidRDefault="00A34616" w14:paraId="53C2D522" w14:textId="77777777">
      <w:pPr>
        <w:pStyle w:val="PargrafodaLista"/>
        <w:widowControl w:val="0"/>
        <w:spacing w:line="276" w:lineRule="auto"/>
        <w:ind w:left="358"/>
        <w:jc w:val="both"/>
      </w:pPr>
      <w:r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:rsidR="008963DA" w:rsidRDefault="008963DA" w14:paraId="110FFD37" w14:textId="77777777">
      <w:pPr>
        <w:widowControl w:val="0"/>
        <w:spacing w:line="276" w:lineRule="auto"/>
        <w:jc w:val="both"/>
      </w:pPr>
    </w:p>
    <w:p w:rsidR="008963DA" w:rsidRDefault="008963DA" w14:paraId="6B699379" w14:textId="77777777">
      <w:pPr>
        <w:widowControl w:val="0"/>
        <w:spacing w:line="276" w:lineRule="auto"/>
        <w:ind w:hanging="2"/>
        <w:jc w:val="both"/>
      </w:pPr>
    </w:p>
    <w:p w:rsidR="1167E46E" w:rsidP="1167E46E" w:rsidRDefault="1167E46E" w14:paraId="20C4B97C" w14:textId="37F7913A">
      <w:pPr>
        <w:spacing w:line="360" w:lineRule="auto"/>
        <w:ind w:hanging="2"/>
        <w:jc w:val="both"/>
        <w:rPr>
          <w:rFonts w:eastAsia="Merriweather"/>
          <w:i w:val="1"/>
          <w:iCs w:val="1"/>
          <w:sz w:val="24"/>
          <w:szCs w:val="24"/>
        </w:rPr>
      </w:pPr>
    </w:p>
    <w:p w:rsidR="008963DA" w:rsidP="7C624602" w:rsidRDefault="00A34616" w14:paraId="48F80AD2" w14:textId="66589A44">
      <w:pPr>
        <w:spacing w:line="360" w:lineRule="auto"/>
        <w:ind w:hanging="2"/>
        <w:jc w:val="both"/>
        <w:rPr>
          <w:rFonts w:eastAsia="Merriweather"/>
          <w:i w:val="1"/>
          <w:iCs w:val="1"/>
          <w:sz w:val="24"/>
          <w:szCs w:val="24"/>
        </w:rPr>
      </w:pPr>
      <w:r w:rsidRPr="7C624602" w:rsidR="3685066B">
        <w:rPr>
          <w:rFonts w:eastAsia="Merriweather"/>
          <w:i w:val="1"/>
          <w:iCs w:val="1"/>
          <w:sz w:val="24"/>
          <w:szCs w:val="24"/>
        </w:rPr>
        <w:t>Bandeirantes,</w:t>
      </w:r>
      <w:r w:rsidRPr="7C624602" w:rsidR="4BB4FF79">
        <w:rPr>
          <w:rFonts w:eastAsia="Merriweather"/>
          <w:i w:val="1"/>
          <w:iCs w:val="1"/>
          <w:sz w:val="24"/>
          <w:szCs w:val="24"/>
        </w:rPr>
        <w:t xml:space="preserve"> </w:t>
      </w:r>
      <w:r w:rsidRPr="7C624602" w:rsidR="43BB744F">
        <w:rPr>
          <w:rFonts w:eastAsia="Merriweather"/>
          <w:i w:val="1"/>
          <w:iCs w:val="1"/>
          <w:sz w:val="24"/>
          <w:szCs w:val="24"/>
        </w:rPr>
        <w:t>18</w:t>
      </w:r>
      <w:r w:rsidRPr="7C624602" w:rsidR="7139441A">
        <w:rPr>
          <w:rFonts w:eastAsia="Merriweather"/>
          <w:i w:val="1"/>
          <w:iCs w:val="1"/>
          <w:sz w:val="24"/>
          <w:szCs w:val="24"/>
        </w:rPr>
        <w:t xml:space="preserve"> de</w:t>
      </w:r>
      <w:r w:rsidRPr="7C624602" w:rsidR="3685066B">
        <w:rPr>
          <w:rFonts w:eastAsia="Merriweather"/>
          <w:i w:val="1"/>
          <w:iCs w:val="1"/>
          <w:sz w:val="24"/>
          <w:szCs w:val="24"/>
        </w:rPr>
        <w:t xml:space="preserve"> </w:t>
      </w:r>
      <w:r w:rsidRPr="7C624602" w:rsidR="3DBD9289">
        <w:rPr>
          <w:rFonts w:eastAsia="Merriweather"/>
          <w:i w:val="1"/>
          <w:iCs w:val="1"/>
          <w:sz w:val="24"/>
          <w:szCs w:val="24"/>
        </w:rPr>
        <w:t>fevereiro</w:t>
      </w:r>
      <w:r w:rsidRPr="7C624602" w:rsidR="7010BD64">
        <w:rPr>
          <w:rFonts w:eastAsia="Merriweather"/>
          <w:i w:val="1"/>
          <w:iCs w:val="1"/>
          <w:sz w:val="24"/>
          <w:szCs w:val="24"/>
        </w:rPr>
        <w:t xml:space="preserve"> de</w:t>
      </w:r>
      <w:r w:rsidRPr="7C624602" w:rsidR="3685066B">
        <w:rPr>
          <w:rFonts w:eastAsia="Merriweather"/>
          <w:i w:val="1"/>
          <w:iCs w:val="1"/>
          <w:sz w:val="24"/>
          <w:szCs w:val="24"/>
        </w:rPr>
        <w:t xml:space="preserve"> 202</w:t>
      </w:r>
      <w:r w:rsidRPr="7C624602" w:rsidR="2DFDDE74">
        <w:rPr>
          <w:rFonts w:eastAsia="Merriweather"/>
          <w:i w:val="1"/>
          <w:iCs w:val="1"/>
          <w:sz w:val="24"/>
          <w:szCs w:val="24"/>
        </w:rPr>
        <w:t>5</w:t>
      </w:r>
      <w:r w:rsidRPr="7C624602" w:rsidR="3685066B">
        <w:rPr>
          <w:rFonts w:eastAsia="Merriweather"/>
          <w:i w:val="1"/>
          <w:iCs w:val="1"/>
          <w:sz w:val="24"/>
          <w:szCs w:val="24"/>
        </w:rPr>
        <w:t>.</w:t>
      </w:r>
    </w:p>
    <w:p w:rsidR="008963DA" w:rsidRDefault="00A34616" w14:paraId="29D6B04F" w14:textId="77777777">
      <w:pPr>
        <w:spacing w:line="360" w:lineRule="auto"/>
        <w:ind w:hanging="2"/>
        <w:jc w:val="both"/>
        <w:rPr>
          <w:rFonts w:eastAsia="Merriweather"/>
          <w:i/>
        </w:rPr>
      </w:pPr>
      <w:r>
        <w:rPr>
          <w:rFonts w:eastAsia="Merriweather"/>
          <w:i/>
        </w:rPr>
        <w:t xml:space="preserve"> </w:t>
      </w:r>
    </w:p>
    <w:p w:rsidR="008963DA" w:rsidP="1167E46E" w:rsidRDefault="008963DA" w14:paraId="3FE9F23F" w14:textId="77777777">
      <w:pPr>
        <w:spacing w:line="360" w:lineRule="auto"/>
        <w:ind w:hanging="2"/>
        <w:jc w:val="both"/>
        <w:rPr>
          <w:rFonts w:eastAsia="Merriweather"/>
          <w:i w:val="1"/>
          <w:iCs w:val="1"/>
        </w:rPr>
      </w:pPr>
    </w:p>
    <w:p w:rsidR="1167E46E" w:rsidP="1167E46E" w:rsidRDefault="1167E46E" w14:paraId="5816F6C3" w14:textId="3B0649CE">
      <w:pPr>
        <w:spacing w:line="360" w:lineRule="auto"/>
        <w:ind w:hanging="2"/>
        <w:jc w:val="both"/>
        <w:rPr>
          <w:rFonts w:eastAsia="Merriweather"/>
          <w:i w:val="1"/>
          <w:iCs w:val="1"/>
        </w:rPr>
      </w:pPr>
    </w:p>
    <w:p w:rsidR="1167E46E" w:rsidP="1167E46E" w:rsidRDefault="1167E46E" w14:paraId="45241A56" w14:textId="3E9B7576">
      <w:pPr>
        <w:pStyle w:val="Normal"/>
        <w:spacing w:line="360" w:lineRule="auto"/>
        <w:ind w:hanging="2"/>
        <w:jc w:val="both"/>
        <w:rPr>
          <w:rFonts w:eastAsia="Merriweather"/>
          <w:i w:val="1"/>
          <w:iCs w:val="1"/>
        </w:rPr>
      </w:pPr>
    </w:p>
    <w:p w:rsidR="008963DA" w:rsidRDefault="00A34616" w14:paraId="5EBA8DF5" w14:textId="77777777">
      <w:pPr>
        <w:spacing w:line="360" w:lineRule="auto"/>
        <w:ind w:hanging="2"/>
        <w:jc w:val="center"/>
        <w:rPr>
          <w:rFonts w:eastAsia="Arial"/>
        </w:rPr>
      </w:pPr>
      <w:r w:rsidRPr="1167E46E" w:rsidR="3685066B">
        <w:rPr>
          <w:rFonts w:eastAsia="Arial"/>
        </w:rPr>
        <w:t>__________________________________</w:t>
      </w:r>
    </w:p>
    <w:p w:rsidR="008963DA" w:rsidP="1167E46E" w:rsidRDefault="008963DA" w14:paraId="66961FA5" w14:textId="1F59D33D">
      <w:pPr>
        <w:widowControl w:val="1"/>
        <w:spacing w:before="0" w:after="0" w:line="360" w:lineRule="auto"/>
        <w:ind w:left="0" w:right="-426" w:hanging="113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1167E46E" w:rsidR="5534225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Rosiane Cristina Vieira Néia Storti</w:t>
      </w:r>
    </w:p>
    <w:p w:rsidR="008963DA" w:rsidP="1167E46E" w:rsidRDefault="008963DA" w14:paraId="4F2C0327" w14:textId="483539D2">
      <w:pPr>
        <w:widowControl w:val="1"/>
        <w:spacing w:before="0" w:after="0" w:line="360" w:lineRule="auto"/>
        <w:ind w:left="0" w:right="-426" w:hanging="113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1167E46E" w:rsidR="5534225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Secretária Municipal de Assistência Social e Assuntos da Família</w:t>
      </w:r>
    </w:p>
    <w:p w:rsidR="008963DA" w:rsidRDefault="008963DA" w14:paraId="08CE6F91" w14:textId="720CDABD">
      <w:pPr>
        <w:spacing w:line="360" w:lineRule="auto"/>
        <w:ind w:hanging="2"/>
        <w:jc w:val="center"/>
      </w:pPr>
    </w:p>
    <w:sectPr w:rsidR="008963DA">
      <w:headerReference w:type="default" r:id="rId7"/>
      <w:footerReference w:type="default" r:id="rId8"/>
      <w:pgSz w:w="11906" w:h="16838" w:orient="portrait"/>
      <w:pgMar w:top="2694" w:right="1274" w:bottom="720" w:left="993" w:header="751" w:footer="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4616" w:rsidRDefault="00A34616" w14:paraId="1AA242B7" w14:textId="77777777">
      <w:r>
        <w:separator/>
      </w:r>
    </w:p>
  </w:endnote>
  <w:endnote w:type="continuationSeparator" w:id="0">
    <w:p w:rsidR="00A34616" w:rsidRDefault="00A34616" w14:paraId="0E2070C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63DA" w:rsidRDefault="00A34616" w14:paraId="6D320FE1" w14:textId="77777777">
    <w:pPr>
      <w:pStyle w:val="Rodap"/>
      <w:jc w:val="center"/>
    </w:pPr>
    <w:r>
      <w:t xml:space="preserve">Rua Frei Rafael Proner, 1.457 – Centro - Cx Postal 281 CEP 86360-000 Tel.43 3542-4525 </w:t>
    </w:r>
  </w:p>
  <w:p w:rsidR="008963DA" w:rsidRDefault="00A34616" w14:paraId="666A25DD" w14:textId="77777777">
    <w:pPr>
      <w:pStyle w:val="Rodap"/>
      <w:jc w:val="center"/>
    </w:pPr>
    <w:r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4616" w:rsidRDefault="00A34616" w14:paraId="61508EBC" w14:textId="77777777">
      <w:r>
        <w:separator/>
      </w:r>
    </w:p>
  </w:footnote>
  <w:footnote w:type="continuationSeparator" w:id="0">
    <w:p w:rsidR="00A34616" w:rsidRDefault="00A34616" w14:paraId="6991AAD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sm="smNativeData" mc:Ignorable="w14 w15 w16se w16cid w16 w16cex w16sdtdh wp14">
  <w:tbl>
    <w:tblPr>
      <w:tblStyle w:val="NormalTable0"/>
      <w:tblW w:w="10264" w:type="dxa"/>
      <w:tblLook w:val="0000" w:firstRow="0" w:lastRow="0" w:firstColumn="0" w:lastColumn="0" w:noHBand="0" w:noVBand="0"/>
    </w:tblPr>
    <w:tblGrid>
      <w:gridCol w:w="10264"/>
    </w:tblGrid>
    <w:tr w:rsidR="008963DA" w14:paraId="276527EC" w14:textId="77777777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  <w:tcMar>
            <w:left w:w="70" w:type="dxa"/>
            <w:right w:w="70" w:type="dxa"/>
          </w:tcMar>
        </w:tcPr>
        <w:p w:rsidR="008963DA" w:rsidRDefault="00A34616" w14:paraId="1ED9C235" w14:textId="77777777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hidden="0" allowOverlap="1" wp14:anchorId="58422EED" wp14:editId="07777777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6350" t="6350" r="6350" b="6350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extLst>
                              <a:ext uri="smNativeData">
  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OScEZhMAAAAlAAAAZA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P///wAK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AAAAAAAAAAAAAAAAAAAAAAAAAAAAAAAAAAAAAAAAAACUAAABYAAAAAAAAAAAAAAAAAAAAAAAAAAAAAAAAAAAAAAAAAAAAAAAAAAAAAAAAAAAAAAA/AAAAAAAAAKCGAQAAAAAAAAAAAAAAAAAMAAAAAQAAAAAAAAAAAAAAAAAAACEAAABAAAAAPAAAAAAAAAAYoAAAAAAAAAEAAAAAAAAAAgAAAPsGAAAAAAAAAgAAAEkBAACGHwAA2wYAAAAAAAAiCwAAOAQAACgAAAAIAAAAAQAAAAEAAAA="/>
                              </a:ext>
                            </a:extLst>
                          </wps:cNvSpPr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FFFFFF"/>
                              </a:solidFill>
                            </a:ln>
                          </wps:spPr>
                          <wps:txbx>
                            <w:txbxContent>
                              <w:p w:rsidR="008963DA" w:rsidRDefault="00A34616" w14:paraId="24B96F48" w14:textId="77777777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:rsidR="008963DA" w:rsidRDefault="00A34616" w14:paraId="5783FDE0" w14:textId="77777777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:rsidR="008963DA" w:rsidRDefault="008963DA" w14:paraId="61CDCEAD" w14:textId="77777777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spcFirstLastPara="1" vertOverflow="clip" horzOverflow="clip" lIns="91440" tIns="45720" rIns="91440" bIns="45720" upright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p14="http://schemas.microsoft.com/office/word/2010/wordml" xmlns:sm="smNativeData" xmlns:a="http://schemas.openxmlformats.org/drawingml/2006/main">
                <w:pict w14:anchorId="0F2F16E6">
                  <v:rect id="Caixa de texto 3" style="position:absolute;margin-left:89.35pt;margin-top:16.45pt;width:403.50pt;height:87.75pt;z-index:251658243;mso-wrap-distance-left:9.00pt;mso-wrap-distance-top:0.00pt;mso-wrap-distance-right:9.00pt;mso-wrap-distance-bottom:0.00pt;mso-wrap-style:square" o:spid="_x0000_s2049" o:insetmode="custom" fillcolor="#ffffff" strokecolor="#ffffff" strokeweight="0.50pt" v:ext="SMDATA_14_OScEZhMAAAAlAAAAZA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P///wAK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AAAAAAAAAAAAAAAAAAAAAAAAAAAAAAAAAAAAAAAAAACUAAABYAAAAAAAAAAAAAAAAAAAAAAAAAAAAAAAAAAAAAAAAAAAAAAAAAAAAAAAAAAAAAAA/AAAAAAAAAKCGAQAAAAAAAAAAAAAAAAAMAAAAAQAAAAAAAAAAAAAAAAAAACEAAABAAAAAPAAAAAAAAAAYoAAAAAAAAAEAAAAAAAAAAgAAAPsGAAAAAAAAAgAAAEkBAACGHwAA2wYAAAAAAAAiCwAAOAQAACgAAAAIAAAAAQAAAAEAAAA=">
                    <v:fill type="solid" color2="#000000" angle="90"/>
                    <w10:wrap type="none" anchorx="text" anchory="text"/>
                    <v:textbox inset="7.2pt,3.6pt,7.2pt,3.6pt">
                      <w:txbxContent>
                        <w:p w14:paraId="5D4EC532" wp14:textId="77777777">
                          <w:pPr>
                            <w:pStyle w:val="para1"/>
                            <w:spacing/>
                            <w:jc w:val="center"/>
                            <w:tabs defTabSz="708">
                              <w:tab w:val="center" w:leader="none" w:pos="4252"/>
                              <w:tab w:val="right" w:leader="none" w:pos="8504"/>
                              <w:tab w:val="right" w:leader="none" w:pos="9356"/>
                            </w:tabs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2D20790D" wp14:textId="77777777">
                          <w:pPr>
                            <w:pStyle w:val="para1"/>
                            <w:spacing w:after="120"/>
                            <w:jc w:val="center"/>
                            <w:tabs defTabSz="708">
                              <w:tab w:val="center" w:leader="none" w:pos="4252"/>
                              <w:tab w:val="right" w:leader="none" w:pos="8504"/>
                              <w:tab w:val="right" w:leader="none" w:pos="9356"/>
                            </w:tabs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6BB9E253" wp14:textId="77777777">
                          <w:pPr>
                            <w:spacing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noProof/>
            </w:rPr>
            <w:pict w14:anchorId="1B6A80A2">
              <v:shapetype id="_x0000_m4098" coordsize="21600,21600" o:spt="1" o:preferrelative="t" path="m,l,21600r21600,l21600,xe">
                <v:stroke joinstyle="round"/>
                <v:path gradientshapeok="t" o:connecttype="rect"/>
              </v:shapetype>
            </w:pict>
          </w:r>
          <w:r>
            <w:rPr>
              <w:noProof/>
            </w:rPr>
            <w:object w:dxaOrig="1728" w:dyaOrig="1872" w14:anchorId="1B6A80A2">
              <v:rect id="ObjetoOLE1" style="width:92.25pt;height:99.75pt;visibility:visible;mso-wrap-style:square;mso-wrap-distance-left:9pt;mso-wrap-distance-top:0;mso-wrap-distance-right:9pt;mso-wrap-distance-bottom:0" o:spid="_x0000_i1025" filled="f" stroked="f" o:preferrelative="t">
                <v:imagedata o:title="image1" r:id="rId1"/>
              </v:rect>
              <o:OLEObject Type="Embed" ProgID="PBrush" ShapeID="ObjetoOLE1" DrawAspect="Content" ObjectID="_1783467280" r:id="rId2"/>
            </w:object>
          </w:r>
        </w:p>
        <w:p w:rsidR="008963DA" w:rsidRDefault="008963DA" w14:paraId="23DE523C" w14:textId="77777777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8963DA" w14:paraId="52E56223" w14:textId="77777777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  <w:tcMar>
            <w:left w:w="70" w:type="dxa"/>
            <w:right w:w="70" w:type="dxa"/>
          </w:tcMar>
        </w:tcPr>
        <w:p w:rsidR="008963DA" w:rsidRDefault="008963DA" w14:paraId="07547A01" w14:textId="77777777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:rsidR="008963DA" w:rsidRDefault="00A34616" w14:paraId="1879E547" w14:textId="77777777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hidden="0" allowOverlap="1" wp14:anchorId="4EA62749" wp14:editId="07777777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14300" cy="145415"/>
              <wp:effectExtent l="0" t="0" r="0" b="0"/>
              <wp:wrapNone/>
              <wp:docPr id="2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OScEZhMAAAAlAAAAZA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EAAAAQoAAAIAAAAAAAAAAAAAAAAgAAAIH9//8AAAAAAgAAAEb///+0AAAA5QAAAAAAAABiAQAA4w0AACgAAAAIAAAAAwAAAAMAAAA="/>
                        </a:ext>
                      </a:extLst>
                    </wps:cNvSpPr>
                    <wps:spPr>
                      <a:xfrm>
                        <a:off x="0" y="0"/>
                        <a:ext cx="114300" cy="145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8963DA" w:rsidRDefault="008963DA" w14:paraId="5043CB0F" w14:textId="77777777">
                          <w:pPr>
                            <w:jc w:val="right"/>
                          </w:pP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14="http://schemas.microsoft.com/office/word/2010/wordml" xmlns:sm="smNativeData" xmlns:a="http://schemas.openxmlformats.org/drawingml/2006/main">
          <w:pict w14:anchorId="38047935">
            <v:rect id="Retângulo 1" style="position:absolute;margin-left:-31.95pt;margin-top:-9.30pt;width:9.00pt;height:11.45pt;z-index:251658242;mso-wrap-distance-left:9.00pt;mso-wrap-distance-top:0.00pt;mso-wrap-distance-right:9.00pt;mso-wrap-distance-bottom:0.00pt;mso-wrap-style:none" o:spid="_x0000_s2051" o:insetmode="custom" fillcolor="#ffffff" stroked="f" v:ext="SMDATA_14_OScEZhMAAAAlAAAAZA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EAAAAQoAAAIAAAAAAAAAAAAAAAAgAAAIH9//8AAAAAAgAAAEb///+0AAAA5QAAAAAAAABiAQAA4w0AACgAAAAIAAAAAwAAAAMAAAA=">
              <v:fill type="solid" color2="#000000" angle="90"/>
              <w10:wrap type="none" anchorx="text" anchory="text"/>
              <v:textbox style="mso-fit-shape-to-text:t" inset="0.0pt,0.0pt,0.0pt,0.0pt">
                <w:txbxContent>
                  <w:p w14:paraId="07459315" wp14:textId="77777777">
                    <w:pPr>
                      <w:spacing/>
                      <w:jc w:val="right"/>
                    </w:pPr>
                    <w:r/>
                  </w:p>
                </w:txbxContent>
              </v:textbox>
            </v:rect>
          </w:pict>
        </mc:Fallback>
      </mc:AlternateContent>
    </w:r>
    <w:r>
      <w:ptab w:alignment="left" w:relativeTo="margin" w:leader="none"/>
    </w:r>
  </w:p>
  <w:p w:rsidR="008963DA" w:rsidRDefault="008963DA" w14:paraId="6537F28F" w14:textId="777777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86098"/>
    <w:multiLevelType w:val="hybridMultilevel"/>
    <w:tmpl w:val="FFFFFFFF"/>
    <w:name w:val="Lista numerada 1"/>
    <w:lvl w:ilvl="0" w:tplc="E970F55E">
      <w:start w:val="14"/>
      <w:numFmt w:val="decimal"/>
      <w:lvlText w:val="%1."/>
      <w:lvlJc w:val="left"/>
      <w:pPr>
        <w:ind w:left="358" w:firstLine="0"/>
      </w:pPr>
    </w:lvl>
    <w:lvl w:ilvl="1" w:tplc="C4023B12">
      <w:start w:val="1"/>
      <w:numFmt w:val="lowerLetter"/>
      <w:lvlText w:val="%2."/>
      <w:lvlJc w:val="left"/>
      <w:pPr>
        <w:ind w:left="1078" w:firstLine="0"/>
      </w:pPr>
    </w:lvl>
    <w:lvl w:ilvl="2" w:tplc="6D62DAD4">
      <w:start w:val="1"/>
      <w:numFmt w:val="lowerRoman"/>
      <w:lvlText w:val="%3."/>
      <w:lvlJc w:val="left"/>
      <w:pPr>
        <w:ind w:left="1978" w:firstLine="0"/>
      </w:pPr>
    </w:lvl>
    <w:lvl w:ilvl="3" w:tplc="B1188B9A">
      <w:start w:val="1"/>
      <w:numFmt w:val="decimal"/>
      <w:lvlText w:val="%4."/>
      <w:lvlJc w:val="left"/>
      <w:pPr>
        <w:ind w:left="2518" w:firstLine="0"/>
      </w:pPr>
    </w:lvl>
    <w:lvl w:ilvl="4" w:tplc="27BEFC00">
      <w:start w:val="1"/>
      <w:numFmt w:val="lowerLetter"/>
      <w:lvlText w:val="%5."/>
      <w:lvlJc w:val="left"/>
      <w:pPr>
        <w:ind w:left="3238" w:firstLine="0"/>
      </w:pPr>
    </w:lvl>
    <w:lvl w:ilvl="5" w:tplc="1D20CFBA">
      <w:start w:val="1"/>
      <w:numFmt w:val="lowerRoman"/>
      <w:lvlText w:val="%6."/>
      <w:lvlJc w:val="left"/>
      <w:pPr>
        <w:ind w:left="4138" w:firstLine="0"/>
      </w:pPr>
    </w:lvl>
    <w:lvl w:ilvl="6" w:tplc="B1522E2C">
      <w:start w:val="1"/>
      <w:numFmt w:val="decimal"/>
      <w:lvlText w:val="%7."/>
      <w:lvlJc w:val="left"/>
      <w:pPr>
        <w:ind w:left="4678" w:firstLine="0"/>
      </w:pPr>
    </w:lvl>
    <w:lvl w:ilvl="7" w:tplc="9E56B366">
      <w:start w:val="1"/>
      <w:numFmt w:val="lowerLetter"/>
      <w:lvlText w:val="%8."/>
      <w:lvlJc w:val="left"/>
      <w:pPr>
        <w:ind w:left="5398" w:firstLine="0"/>
      </w:pPr>
    </w:lvl>
    <w:lvl w:ilvl="8" w:tplc="F71ED108">
      <w:start w:val="1"/>
      <w:numFmt w:val="lowerRoman"/>
      <w:lvlText w:val="%9."/>
      <w:lvlJc w:val="left"/>
      <w:pPr>
        <w:ind w:left="6298" w:firstLine="0"/>
      </w:pPr>
    </w:lvl>
  </w:abstractNum>
  <w:abstractNum w:abstractNumId="1" w15:restartNumberingAfterBreak="0">
    <w:nsid w:val="2E6B045C"/>
    <w:multiLevelType w:val="hybridMultilevel"/>
    <w:tmpl w:val="FFFFFFFF"/>
    <w:lvl w:ilvl="0" w:tplc="E1007E9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6605B6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8C6D54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9B61F1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F36C34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135ACAF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DFA82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5A491C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3841A4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C037AA5"/>
    <w:multiLevelType w:val="hybridMultilevel"/>
    <w:tmpl w:val="FFFFFFFF"/>
    <w:name w:val="Lista numerada 3"/>
    <w:lvl w:ilvl="0" w:tplc="A1409F52">
      <w:start w:val="1"/>
      <w:numFmt w:val="decimal"/>
      <w:lvlText w:val="%1-"/>
      <w:lvlJc w:val="left"/>
      <w:pPr>
        <w:ind w:left="-2" w:firstLine="0"/>
      </w:pPr>
      <w:rPr>
        <w:b/>
      </w:rPr>
    </w:lvl>
    <w:lvl w:ilvl="1" w:tplc="B94E69FE">
      <w:start w:val="1"/>
      <w:numFmt w:val="lowerLetter"/>
      <w:lvlText w:val="%2."/>
      <w:lvlJc w:val="left"/>
      <w:pPr>
        <w:ind w:left="718" w:firstLine="0"/>
      </w:pPr>
    </w:lvl>
    <w:lvl w:ilvl="2" w:tplc="964ED898">
      <w:start w:val="1"/>
      <w:numFmt w:val="lowerRoman"/>
      <w:lvlText w:val="%3."/>
      <w:lvlJc w:val="left"/>
      <w:pPr>
        <w:ind w:left="1618" w:firstLine="0"/>
      </w:pPr>
    </w:lvl>
    <w:lvl w:ilvl="3" w:tplc="C4602BCE">
      <w:start w:val="1"/>
      <w:numFmt w:val="decimal"/>
      <w:lvlText w:val="%4."/>
      <w:lvlJc w:val="left"/>
      <w:pPr>
        <w:ind w:left="2158" w:firstLine="0"/>
      </w:pPr>
    </w:lvl>
    <w:lvl w:ilvl="4" w:tplc="C7C67C76">
      <w:start w:val="1"/>
      <w:numFmt w:val="lowerLetter"/>
      <w:lvlText w:val="%5."/>
      <w:lvlJc w:val="left"/>
      <w:pPr>
        <w:ind w:left="2878" w:firstLine="0"/>
      </w:pPr>
    </w:lvl>
    <w:lvl w:ilvl="5" w:tplc="491AFB84">
      <w:start w:val="1"/>
      <w:numFmt w:val="lowerRoman"/>
      <w:lvlText w:val="%6."/>
      <w:lvlJc w:val="left"/>
      <w:pPr>
        <w:ind w:left="3778" w:firstLine="0"/>
      </w:pPr>
    </w:lvl>
    <w:lvl w:ilvl="6" w:tplc="78DE592A">
      <w:start w:val="1"/>
      <w:numFmt w:val="decimal"/>
      <w:lvlText w:val="%7."/>
      <w:lvlJc w:val="left"/>
      <w:pPr>
        <w:ind w:left="4318" w:firstLine="0"/>
      </w:pPr>
    </w:lvl>
    <w:lvl w:ilvl="7" w:tplc="2A6E0D10">
      <w:start w:val="1"/>
      <w:numFmt w:val="lowerLetter"/>
      <w:lvlText w:val="%8."/>
      <w:lvlJc w:val="left"/>
      <w:pPr>
        <w:ind w:left="5038" w:firstLine="0"/>
      </w:pPr>
    </w:lvl>
    <w:lvl w:ilvl="8" w:tplc="6750D8C4">
      <w:start w:val="1"/>
      <w:numFmt w:val="lowerRoman"/>
      <w:lvlText w:val="%9."/>
      <w:lvlJc w:val="left"/>
      <w:pPr>
        <w:ind w:left="5938" w:firstLine="0"/>
      </w:pPr>
    </w:lvl>
  </w:abstractNum>
  <w:abstractNum w:abstractNumId="3" w15:restartNumberingAfterBreak="0">
    <w:nsid w:val="77DF6DB3"/>
    <w:multiLevelType w:val="hybridMultilevel"/>
    <w:tmpl w:val="FFFFFFFF"/>
    <w:name w:val="Lista numerada 2"/>
    <w:lvl w:ilvl="0" w:tplc="947A7D5C">
      <w:start w:val="1"/>
      <w:numFmt w:val="decimal"/>
      <w:lvlText w:val="%1."/>
      <w:lvlJc w:val="left"/>
      <w:pPr>
        <w:ind w:left="-2" w:firstLine="0"/>
      </w:pPr>
    </w:lvl>
    <w:lvl w:ilvl="1" w:tplc="C8667782">
      <w:start w:val="1"/>
      <w:numFmt w:val="lowerLetter"/>
      <w:lvlText w:val="%2."/>
      <w:lvlJc w:val="left"/>
      <w:pPr>
        <w:ind w:left="718" w:firstLine="0"/>
      </w:pPr>
    </w:lvl>
    <w:lvl w:ilvl="2" w:tplc="13E69D28">
      <w:start w:val="1"/>
      <w:numFmt w:val="lowerRoman"/>
      <w:lvlText w:val="%3."/>
      <w:lvlJc w:val="left"/>
      <w:pPr>
        <w:ind w:left="1618" w:firstLine="0"/>
      </w:pPr>
    </w:lvl>
    <w:lvl w:ilvl="3" w:tplc="945865DA">
      <w:start w:val="1"/>
      <w:numFmt w:val="decimal"/>
      <w:lvlText w:val="%4."/>
      <w:lvlJc w:val="left"/>
      <w:pPr>
        <w:ind w:left="2158" w:firstLine="0"/>
      </w:pPr>
    </w:lvl>
    <w:lvl w:ilvl="4" w:tplc="E474C82E">
      <w:start w:val="1"/>
      <w:numFmt w:val="lowerLetter"/>
      <w:lvlText w:val="%5."/>
      <w:lvlJc w:val="left"/>
      <w:pPr>
        <w:ind w:left="2878" w:firstLine="0"/>
      </w:pPr>
    </w:lvl>
    <w:lvl w:ilvl="5" w:tplc="2A9AA068">
      <w:start w:val="1"/>
      <w:numFmt w:val="lowerRoman"/>
      <w:lvlText w:val="%6."/>
      <w:lvlJc w:val="left"/>
      <w:pPr>
        <w:ind w:left="3778" w:firstLine="0"/>
      </w:pPr>
    </w:lvl>
    <w:lvl w:ilvl="6" w:tplc="50264792">
      <w:start w:val="1"/>
      <w:numFmt w:val="decimal"/>
      <w:lvlText w:val="%7."/>
      <w:lvlJc w:val="left"/>
      <w:pPr>
        <w:ind w:left="4318" w:firstLine="0"/>
      </w:pPr>
    </w:lvl>
    <w:lvl w:ilvl="7" w:tplc="3A1E165C">
      <w:start w:val="1"/>
      <w:numFmt w:val="lowerLetter"/>
      <w:lvlText w:val="%8."/>
      <w:lvlJc w:val="left"/>
      <w:pPr>
        <w:ind w:left="5038" w:firstLine="0"/>
      </w:pPr>
    </w:lvl>
    <w:lvl w:ilvl="8" w:tplc="4222716A">
      <w:start w:val="1"/>
      <w:numFmt w:val="lowerRoman"/>
      <w:lvlText w:val="%9."/>
      <w:lvlJc w:val="left"/>
      <w:pPr>
        <w:ind w:left="5938" w:firstLine="0"/>
      </w:pPr>
    </w:lvl>
  </w:abstractNum>
  <w:num w:numId="1" w16cid:durableId="1137181960">
    <w:abstractNumId w:val="0"/>
  </w:num>
  <w:num w:numId="2" w16cid:durableId="349841478">
    <w:abstractNumId w:val="3"/>
  </w:num>
  <w:num w:numId="3" w16cid:durableId="535892956">
    <w:abstractNumId w:val="2"/>
  </w:num>
  <w:num w:numId="4" w16cid:durableId="1021855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3DA"/>
    <w:rsid w:val="008963DA"/>
    <w:rsid w:val="009776D5"/>
    <w:rsid w:val="00A34616"/>
    <w:rsid w:val="06A36AF2"/>
    <w:rsid w:val="08507FB4"/>
    <w:rsid w:val="1167E46E"/>
    <w:rsid w:val="148396D8"/>
    <w:rsid w:val="15BCCAB1"/>
    <w:rsid w:val="1E6EB56A"/>
    <w:rsid w:val="22DBD6AF"/>
    <w:rsid w:val="232439A7"/>
    <w:rsid w:val="24E64BD1"/>
    <w:rsid w:val="2DFDDE74"/>
    <w:rsid w:val="3685066B"/>
    <w:rsid w:val="3DBD9289"/>
    <w:rsid w:val="43BB744F"/>
    <w:rsid w:val="4A28F3BA"/>
    <w:rsid w:val="4AEBCA8C"/>
    <w:rsid w:val="4BB4FF79"/>
    <w:rsid w:val="4BD505C3"/>
    <w:rsid w:val="50EC31CA"/>
    <w:rsid w:val="53F01A6E"/>
    <w:rsid w:val="55342255"/>
    <w:rsid w:val="61192B1A"/>
    <w:rsid w:val="62C3F05A"/>
    <w:rsid w:val="63671AFA"/>
    <w:rsid w:val="6A727BB9"/>
    <w:rsid w:val="7010BD64"/>
    <w:rsid w:val="7139441A"/>
    <w:rsid w:val="76295982"/>
    <w:rsid w:val="7C62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1F2B51EB"/>
  <w15:docId w15:val="{A329243D-C923-4922-92A4-63CE5520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Subttulo">
    <w:name w:val="Subtitle"/>
    <w:basedOn w:val="Normal"/>
    <w:qFormat/>
    <w:pPr>
      <w:suppressAutoHyphens/>
      <w:spacing w:after="60"/>
      <w:jc w:val="center"/>
      <w:outlineLvl w:val="1"/>
    </w:pPr>
    <w:rPr>
      <w:rFonts w:ascii="Arial" w:hAnsi="Arial" w:cs="Arial"/>
      <w:sz w:val="24"/>
      <w:szCs w:val="24"/>
      <w:lang w:eastAsia="ar-SA"/>
    </w:rPr>
  </w:style>
  <w:style w:type="character" w:styleId="CabealhoChar" w:customStyle="1">
    <w:name w:val="Cabeçalho Char"/>
    <w:basedOn w:val="Fontepargpadro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RodapChar" w:customStyle="1">
    <w:name w:val="Rodapé Char"/>
    <w:basedOn w:val="Fontepargpadro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TextodebaloChar" w:customStyle="1">
    <w:name w:val="Texto de balão Char"/>
    <w:basedOn w:val="Fontepargpadro"/>
    <w:rPr>
      <w:rFonts w:ascii="Segoe UI" w:hAnsi="Segoe UI" w:eastAsia="Times New Roman" w:cs="Segoe UI"/>
      <w:sz w:val="18"/>
      <w:szCs w:val="18"/>
      <w:lang w:eastAsia="pt-BR"/>
    </w:rPr>
  </w:style>
  <w:style w:type="character" w:styleId="SubttuloChar" w:customStyle="1">
    <w:name w:val="Subtítulo Char"/>
    <w:basedOn w:val="Fontepargpadro"/>
    <w:rPr>
      <w:rFonts w:ascii="Arial" w:hAnsi="Arial" w:eastAsia="Times New Roman" w:cs="Arial"/>
      <w:sz w:val="24"/>
      <w:szCs w:val="24"/>
      <w:lang w:eastAsia="ar-SA"/>
    </w:rPr>
  </w:style>
  <w:style w:type="table" w:styleId="NormalTable0" w:customStyle="1">
    <w:name w:val="Normal Tabl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NormalTable0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T. Maciel</lastModifiedBy>
  <revision>7</revision>
  <lastPrinted>2024-03-07T18:59:00.0000000Z</lastPrinted>
  <dcterms:created xsi:type="dcterms:W3CDTF">2024-07-26T09:48:00.0000000Z</dcterms:created>
  <dcterms:modified xsi:type="dcterms:W3CDTF">2025-02-18T13:18:26.3747380Z</dcterms:modified>
</coreProperties>
</file>