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2A47F" w14:textId="77777777" w:rsidR="003A0AD4" w:rsidRPr="001A0905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>LISTA DE VERIFICAÇÃO</w:t>
      </w:r>
    </w:p>
    <w:p w14:paraId="507159F3" w14:textId="77777777" w:rsidR="00B27C39" w:rsidRPr="001A0905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2"/>
          <w:szCs w:val="22"/>
        </w:rPr>
      </w:pPr>
    </w:p>
    <w:p w14:paraId="6EAD7AC5" w14:textId="77777777" w:rsidR="003A0AD4" w:rsidRPr="001A0905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>PROCESSO ADM.:______/________.</w:t>
      </w:r>
    </w:p>
    <w:p w14:paraId="13AC893F" w14:textId="7992BE47" w:rsidR="00D365F1" w:rsidRDefault="00764604" w:rsidP="00C32DDA">
      <w:pPr>
        <w:widowControl w:val="0"/>
        <w:spacing w:line="360" w:lineRule="auto"/>
        <w:jc w:val="both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 xml:space="preserve">OBJETO: </w:t>
      </w:r>
      <w:r w:rsidR="00141708" w:rsidRPr="00141708">
        <w:rPr>
          <w:b/>
          <w:sz w:val="22"/>
          <w:szCs w:val="22"/>
        </w:rPr>
        <w:t>AQUISIÇÃO DE VEICULO UTILITÁRIO DESTINADO AO SETOR DE VIGILÂNCIA EM SAÚDE DO MUNICIPIO DE BANDEIRANTES.</w:t>
      </w:r>
    </w:p>
    <w:p w14:paraId="0D9AA115" w14:textId="77777777" w:rsidR="00141708" w:rsidRPr="001A0905" w:rsidRDefault="00141708" w:rsidP="00C32DDA">
      <w:pPr>
        <w:widowControl w:val="0"/>
        <w:spacing w:line="360" w:lineRule="auto"/>
        <w:jc w:val="both"/>
        <w:rPr>
          <w:b/>
          <w:sz w:val="22"/>
          <w:szCs w:val="22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1F3007">
              <w:t xml:space="preserve"> 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06C151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1A0905">
              <w:t xml:space="preserve"> </w:t>
            </w:r>
            <w:r w:rsidR="00197930">
              <w:t>X</w:t>
            </w:r>
            <w:proofErr w:type="gramEnd"/>
            <w:r>
              <w:t xml:space="preserve">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416D5A6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7D71C43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1A0905">
              <w:t xml:space="preserve">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273C628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531C15D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A0905">
              <w:t>X</w:t>
            </w:r>
            <w:proofErr w:type="gramEnd"/>
            <w:r>
              <w:t xml:space="preserve">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61B60DE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 xml:space="preserve"> </w:t>
            </w:r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1977CF8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>X</w:t>
            </w:r>
            <w:proofErr w:type="gramEnd"/>
            <w:r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03EB96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63947D3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>X</w:t>
            </w:r>
            <w:proofErr w:type="gramEnd"/>
            <w:r>
              <w:t xml:space="preserve">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5846C11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05ED93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>X</w:t>
            </w:r>
            <w:proofErr w:type="gramEnd"/>
            <w:r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5ACF785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51ECA09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6F4AB3">
              <w:t>X</w:t>
            </w:r>
            <w:proofErr w:type="gramEnd"/>
            <w:r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35BC7893" w14:textId="08F515E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11. Consta justificativa para a ausência dos itens não obrigatórios dos Estudos Técnicos Preliminares?</w:t>
            </w:r>
            <w:r w:rsidR="006F4AB3" w:rsidRPr="006F4AB3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1AB82DE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54F5982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>X</w:t>
            </w:r>
            <w:proofErr w:type="gramEnd"/>
            <w:r>
              <w:t xml:space="preserve">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6A7E57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31A042D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</w:t>
            </w:r>
            <w:r w:rsidR="006F4AB3">
              <w:t>procedimentos da IN ME 81/2022?</w:t>
            </w:r>
            <w:r w:rsidR="006F4AB3" w:rsidRPr="006F4AB3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5CDEB72B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4285A9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523DD14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0619BB6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486DFBE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4C4A28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A0905">
              <w:t>X</w:t>
            </w:r>
            <w:proofErr w:type="gramEnd"/>
            <w:r>
              <w:t xml:space="preserve"> ) Sim</w:t>
            </w:r>
          </w:p>
          <w:p w14:paraId="440E3193" w14:textId="0134643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0BF62CF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700669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A0905">
              <w:t>X</w:t>
            </w:r>
            <w:proofErr w:type="gramEnd"/>
            <w:r>
              <w:t xml:space="preserve"> ) Sim</w:t>
            </w:r>
          </w:p>
          <w:p w14:paraId="54559062" w14:textId="356B6659" w:rsidR="003A0AD4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</w:t>
            </w:r>
            <w:r w:rsidR="001A0905">
              <w:t xml:space="preserve"> </w:t>
            </w:r>
            <w:r w:rsidR="003A0AD4">
              <w:t>) Não</w:t>
            </w:r>
          </w:p>
          <w:p w14:paraId="7190F41D" w14:textId="142CB6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Default="003A0AD4" w:rsidP="00690CBC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74423B7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</w:t>
            </w:r>
            <w:r w:rsidR="00690CBC">
              <w:t>X</w:t>
            </w:r>
            <w:proofErr w:type="gramEnd"/>
            <w:r>
              <w:t xml:space="preserve">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D75FA02" w14:textId="65DED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22. Ao final da elaboração do TR, houve avaliação quanto à necessidade de classificá-lo nos termos da Lei nº 12.527, de 18 de novembro de 2011?</w:t>
            </w:r>
            <w:r w:rsidR="00690CBC"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2BF0745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1F3007">
              <w:t xml:space="preserve">  </w:t>
            </w:r>
            <w:r w:rsidR="001A0905">
              <w:t xml:space="preserve"> </w:t>
            </w:r>
            <w:r>
              <w:t>) Sim</w:t>
            </w:r>
          </w:p>
          <w:p w14:paraId="3E5E4195" w14:textId="63F4404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8129F6">
              <w:t xml:space="preserve">  </w:t>
            </w:r>
            <w:r>
              <w:t xml:space="preserve"> ) Não</w:t>
            </w:r>
          </w:p>
          <w:p w14:paraId="4106C187" w14:textId="740183B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A0905">
              <w:t xml:space="preserve">X </w:t>
            </w:r>
            <w: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03CE87B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53A070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6F4AB3">
              <w:t>X</w:t>
            </w:r>
            <w:proofErr w:type="gramEnd"/>
            <w:r>
              <w:t xml:space="preserve"> ) Sim</w:t>
            </w:r>
          </w:p>
          <w:p w14:paraId="35398B4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BA19BC7" w14:textId="3ADC4E2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76D6826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7051E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DB247D">
              <w:t>X</w:t>
            </w:r>
            <w:proofErr w:type="gramEnd"/>
            <w:r>
              <w:t xml:space="preserve">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56153F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31A9F0B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>X</w:t>
            </w:r>
            <w:proofErr w:type="gramEnd"/>
            <w:r>
              <w:t xml:space="preserve"> ) Sim</w:t>
            </w:r>
          </w:p>
          <w:p w14:paraId="17D626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D9A4E3A" w14:textId="117D68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5FDFAC4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F3007">
              <w:t xml:space="preserve"> </w:t>
            </w:r>
            <w:proofErr w:type="gramEnd"/>
            <w:r w:rsidR="001F3007">
              <w:t xml:space="preserve"> </w:t>
            </w:r>
            <w:r w:rsidR="001A0905">
              <w:t xml:space="preserve">  </w:t>
            </w:r>
            <w:r>
              <w:t>) Sim</w:t>
            </w:r>
          </w:p>
          <w:p w14:paraId="406021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22E10399" w:rsidR="003A0AD4" w:rsidRDefault="001F3007" w:rsidP="001F3007">
            <w:pPr>
              <w:widowControl w:val="0"/>
              <w:spacing w:line="276" w:lineRule="auto"/>
              <w:jc w:val="both"/>
            </w:pPr>
            <w:r>
              <w:t>(</w:t>
            </w:r>
            <w:r w:rsidR="001A0905">
              <w:t xml:space="preserve"> </w:t>
            </w:r>
            <w:r>
              <w:t>X</w:t>
            </w:r>
            <w:r w:rsidR="003A0AD4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F3007">
              <w:t>X</w:t>
            </w:r>
            <w:proofErr w:type="gramEnd"/>
            <w:r>
              <w:t xml:space="preserve"> ) Sim</w:t>
            </w:r>
          </w:p>
          <w:p w14:paraId="09366F1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05382A88" w:rsidR="003A0AD4" w:rsidRDefault="00C42082" w:rsidP="007B437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A0905">
              <w:t xml:space="preserve">  </w:t>
            </w:r>
            <w:r w:rsidR="003A0AD4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6F54C05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17C15785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6F47434F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lastRenderedPageBreak/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14:paraId="1BEE1E2B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14:paraId="6853251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II - </w:t>
      </w:r>
      <w:proofErr w:type="gramStart"/>
      <w:r>
        <w:t>prejudicar ou pôr</w:t>
      </w:r>
      <w:proofErr w:type="gramEnd"/>
      <w:r>
        <w:t xml:space="preserve">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2DFB5E0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14:paraId="1F520CE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14:paraId="29C4D64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14:paraId="7F5D20A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32BAB61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Pr="00A530E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color w:val="000000" w:themeColor="text1"/>
        </w:rPr>
      </w:pPr>
    </w:p>
    <w:p w14:paraId="679EF232" w14:textId="034D04B5" w:rsidR="001F3007" w:rsidRPr="00A530E9" w:rsidRDefault="001F3007" w:rsidP="001F3007">
      <w:pPr>
        <w:spacing w:line="360" w:lineRule="auto"/>
        <w:ind w:hanging="2"/>
        <w:jc w:val="right"/>
        <w:rPr>
          <w:rFonts w:eastAsia="Merriweather"/>
          <w:color w:val="000000" w:themeColor="text1"/>
        </w:rPr>
      </w:pPr>
      <w:r w:rsidRPr="00A530E9">
        <w:rPr>
          <w:rFonts w:eastAsia="Merriweather"/>
          <w:color w:val="000000" w:themeColor="text1"/>
        </w:rPr>
        <w:t xml:space="preserve">Bandeirantes, </w:t>
      </w:r>
      <w:r w:rsidR="008B566D" w:rsidRPr="00A530E9">
        <w:rPr>
          <w:rFonts w:eastAsia="Merriweather"/>
          <w:color w:val="000000" w:themeColor="text1"/>
        </w:rPr>
        <w:t>06</w:t>
      </w:r>
      <w:r w:rsidRPr="00A530E9">
        <w:rPr>
          <w:rFonts w:eastAsia="Merriweather"/>
          <w:color w:val="000000" w:themeColor="text1"/>
        </w:rPr>
        <w:t xml:space="preserve"> de</w:t>
      </w:r>
      <w:r w:rsidR="008B566D" w:rsidRPr="00A530E9">
        <w:rPr>
          <w:rFonts w:eastAsia="Merriweather"/>
          <w:color w:val="000000" w:themeColor="text1"/>
        </w:rPr>
        <w:t xml:space="preserve"> outubro</w:t>
      </w:r>
      <w:r w:rsidRPr="00A530E9">
        <w:rPr>
          <w:rFonts w:eastAsia="Merriweather"/>
          <w:color w:val="000000" w:themeColor="text1"/>
        </w:rPr>
        <w:t xml:space="preserve"> de 2024</w:t>
      </w:r>
    </w:p>
    <w:p w14:paraId="57BE6931" w14:textId="77777777" w:rsidR="001F3007" w:rsidRPr="00A530E9" w:rsidRDefault="001F3007" w:rsidP="001F3007">
      <w:pPr>
        <w:spacing w:line="360" w:lineRule="auto"/>
        <w:ind w:hanging="2"/>
        <w:jc w:val="both"/>
        <w:rPr>
          <w:rFonts w:eastAsia="Merriweather"/>
          <w:i/>
          <w:color w:val="000000" w:themeColor="text1"/>
        </w:rPr>
      </w:pPr>
      <w:r w:rsidRPr="00A530E9">
        <w:rPr>
          <w:rFonts w:eastAsia="Merriweather"/>
          <w:i/>
          <w:color w:val="000000" w:themeColor="text1"/>
        </w:rPr>
        <w:t xml:space="preserve"> </w:t>
      </w:r>
    </w:p>
    <w:p w14:paraId="3ED64E66" w14:textId="77777777" w:rsidR="001F3007" w:rsidRPr="00A530E9" w:rsidRDefault="001F3007" w:rsidP="001F3007">
      <w:pPr>
        <w:spacing w:line="360" w:lineRule="auto"/>
        <w:ind w:hanging="2"/>
        <w:jc w:val="both"/>
        <w:rPr>
          <w:rFonts w:eastAsia="Merriweather"/>
          <w:i/>
          <w:color w:val="000000" w:themeColor="text1"/>
        </w:rPr>
      </w:pPr>
    </w:p>
    <w:p w14:paraId="3E8A717A" w14:textId="77777777" w:rsidR="001F3007" w:rsidRPr="00A530E9" w:rsidRDefault="001F3007" w:rsidP="001F3007">
      <w:pPr>
        <w:spacing w:line="360" w:lineRule="auto"/>
        <w:ind w:hanging="2"/>
        <w:jc w:val="center"/>
        <w:rPr>
          <w:rFonts w:eastAsia="Arial"/>
          <w:color w:val="000000" w:themeColor="text1"/>
        </w:rPr>
      </w:pPr>
      <w:r w:rsidRPr="00A530E9">
        <w:rPr>
          <w:rFonts w:eastAsia="Arial"/>
          <w:color w:val="000000" w:themeColor="text1"/>
        </w:rPr>
        <w:t>__________________________________</w:t>
      </w:r>
    </w:p>
    <w:p w14:paraId="603027AA" w14:textId="748A3F8A" w:rsidR="001F3007" w:rsidRPr="00A530E9" w:rsidRDefault="00A530E9" w:rsidP="001F3007">
      <w:pPr>
        <w:spacing w:line="360" w:lineRule="auto"/>
        <w:ind w:hanging="2"/>
        <w:jc w:val="center"/>
        <w:rPr>
          <w:rFonts w:eastAsia="Merriweather"/>
          <w:color w:val="000000" w:themeColor="text1"/>
          <w:sz w:val="22"/>
          <w:szCs w:val="22"/>
        </w:rPr>
      </w:pPr>
      <w:r w:rsidRPr="00A530E9">
        <w:rPr>
          <w:rFonts w:eastAsia="Merriweather"/>
          <w:color w:val="000000" w:themeColor="text1"/>
          <w:sz w:val="22"/>
          <w:szCs w:val="22"/>
        </w:rPr>
        <w:t>ALEXANDRO BERETTA</w:t>
      </w:r>
    </w:p>
    <w:p w14:paraId="76B48FAF" w14:textId="29849DC2" w:rsidR="00A530E9" w:rsidRPr="00A530E9" w:rsidRDefault="00A530E9" w:rsidP="001F3007">
      <w:pPr>
        <w:spacing w:line="360" w:lineRule="auto"/>
        <w:ind w:hanging="2"/>
        <w:jc w:val="center"/>
        <w:rPr>
          <w:rFonts w:eastAsia="Merriweather"/>
          <w:color w:val="000000" w:themeColor="text1"/>
          <w:sz w:val="22"/>
          <w:szCs w:val="22"/>
        </w:rPr>
      </w:pPr>
      <w:r w:rsidRPr="00A530E9">
        <w:rPr>
          <w:rFonts w:eastAsia="Merriweather"/>
          <w:color w:val="000000" w:themeColor="text1"/>
          <w:sz w:val="22"/>
          <w:szCs w:val="22"/>
        </w:rPr>
        <w:t>Secretário Municipal De Saúde</w:t>
      </w:r>
    </w:p>
    <w:p w14:paraId="326E9680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7907BFF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CF1DB1F" w14:textId="2ECA61B0" w:rsidR="001F3007" w:rsidRDefault="001F3007" w:rsidP="001F3007">
      <w:pPr>
        <w:spacing w:line="360" w:lineRule="auto"/>
        <w:ind w:hanging="2"/>
        <w:rPr>
          <w:rFonts w:eastAsia="Arial"/>
        </w:rPr>
      </w:pPr>
      <w:bookmarkStart w:id="0" w:name="_GoBack"/>
      <w:proofErr w:type="spellStart"/>
      <w:r>
        <w:rPr>
          <w:rFonts w:eastAsia="Merriweather"/>
          <w:sz w:val="22"/>
          <w:szCs w:val="22"/>
        </w:rPr>
        <w:t>Obs</w:t>
      </w:r>
      <w:proofErr w:type="spellEnd"/>
      <w:r>
        <w:rPr>
          <w:rFonts w:eastAsia="Merriweather"/>
          <w:sz w:val="22"/>
          <w:szCs w:val="22"/>
        </w:rPr>
        <w:t>: preenchido apenas a parte que se refere a secretaria de saúde, considerando ainda que não foi possível indicar as páginas, pois a enumeração não se dá na fase inicial.</w:t>
      </w:r>
    </w:p>
    <w:bookmarkEnd w:id="0"/>
    <w:p w14:paraId="68C297CA" w14:textId="77777777" w:rsidR="00C3510F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0D90E" w14:textId="77777777" w:rsidR="00F54277" w:rsidRDefault="00F54277">
      <w:r>
        <w:separator/>
      </w:r>
    </w:p>
  </w:endnote>
  <w:endnote w:type="continuationSeparator" w:id="0">
    <w:p w14:paraId="589A9FAD" w14:textId="77777777" w:rsidR="00F54277" w:rsidRDefault="00F5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Proner,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2ECDC" w14:textId="77777777" w:rsidR="00F54277" w:rsidRDefault="00F54277">
      <w:r>
        <w:separator/>
      </w:r>
    </w:p>
  </w:footnote>
  <w:footnote w:type="continuationSeparator" w:id="0">
    <w:p w14:paraId="090BFEF3" w14:textId="77777777" w:rsidR="00F54277" w:rsidRDefault="00F54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2371086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1747"/>
    <w:rsid w:val="00045C6B"/>
    <w:rsid w:val="00093290"/>
    <w:rsid w:val="0012730E"/>
    <w:rsid w:val="00141708"/>
    <w:rsid w:val="00154A49"/>
    <w:rsid w:val="00194359"/>
    <w:rsid w:val="00197930"/>
    <w:rsid w:val="001A0905"/>
    <w:rsid w:val="001A6544"/>
    <w:rsid w:val="001A7F88"/>
    <w:rsid w:val="001B1FD4"/>
    <w:rsid w:val="001C4A7C"/>
    <w:rsid w:val="001F3007"/>
    <w:rsid w:val="00216476"/>
    <w:rsid w:val="0024632E"/>
    <w:rsid w:val="003547D4"/>
    <w:rsid w:val="00370366"/>
    <w:rsid w:val="00375F29"/>
    <w:rsid w:val="003A0AD4"/>
    <w:rsid w:val="003C577E"/>
    <w:rsid w:val="003C6511"/>
    <w:rsid w:val="003D0C8E"/>
    <w:rsid w:val="003F757B"/>
    <w:rsid w:val="004763D8"/>
    <w:rsid w:val="0048442D"/>
    <w:rsid w:val="004A2DCE"/>
    <w:rsid w:val="004D10F2"/>
    <w:rsid w:val="00532DB1"/>
    <w:rsid w:val="00534DEC"/>
    <w:rsid w:val="00550F26"/>
    <w:rsid w:val="00562FF9"/>
    <w:rsid w:val="00571BB1"/>
    <w:rsid w:val="00577059"/>
    <w:rsid w:val="00591FFF"/>
    <w:rsid w:val="005B242F"/>
    <w:rsid w:val="005D1C52"/>
    <w:rsid w:val="005D4784"/>
    <w:rsid w:val="0062685E"/>
    <w:rsid w:val="00644F7F"/>
    <w:rsid w:val="0066136E"/>
    <w:rsid w:val="006829FA"/>
    <w:rsid w:val="00690CBC"/>
    <w:rsid w:val="006B139C"/>
    <w:rsid w:val="006F4AB3"/>
    <w:rsid w:val="00723320"/>
    <w:rsid w:val="00733392"/>
    <w:rsid w:val="0075202B"/>
    <w:rsid w:val="007520A5"/>
    <w:rsid w:val="007559A5"/>
    <w:rsid w:val="00764604"/>
    <w:rsid w:val="00781107"/>
    <w:rsid w:val="007A4091"/>
    <w:rsid w:val="007B437C"/>
    <w:rsid w:val="007B7754"/>
    <w:rsid w:val="007D7920"/>
    <w:rsid w:val="008129F6"/>
    <w:rsid w:val="008226D9"/>
    <w:rsid w:val="00827CEA"/>
    <w:rsid w:val="0087760F"/>
    <w:rsid w:val="00885F36"/>
    <w:rsid w:val="008908BC"/>
    <w:rsid w:val="008B1FEC"/>
    <w:rsid w:val="008B566D"/>
    <w:rsid w:val="008E36F7"/>
    <w:rsid w:val="0090716C"/>
    <w:rsid w:val="00926CC3"/>
    <w:rsid w:val="009829B8"/>
    <w:rsid w:val="009958FF"/>
    <w:rsid w:val="009A73E1"/>
    <w:rsid w:val="009B4B92"/>
    <w:rsid w:val="009B601A"/>
    <w:rsid w:val="00A25ADD"/>
    <w:rsid w:val="00A5304D"/>
    <w:rsid w:val="00A530E9"/>
    <w:rsid w:val="00B023B0"/>
    <w:rsid w:val="00B27C39"/>
    <w:rsid w:val="00B3652A"/>
    <w:rsid w:val="00B446FF"/>
    <w:rsid w:val="00B7665D"/>
    <w:rsid w:val="00B811B1"/>
    <w:rsid w:val="00B96081"/>
    <w:rsid w:val="00B96FEE"/>
    <w:rsid w:val="00C32DDA"/>
    <w:rsid w:val="00C3510F"/>
    <w:rsid w:val="00C42082"/>
    <w:rsid w:val="00C46C55"/>
    <w:rsid w:val="00CF3357"/>
    <w:rsid w:val="00D10037"/>
    <w:rsid w:val="00D13AA6"/>
    <w:rsid w:val="00D30244"/>
    <w:rsid w:val="00D365F1"/>
    <w:rsid w:val="00D36A57"/>
    <w:rsid w:val="00D52AB1"/>
    <w:rsid w:val="00D65D00"/>
    <w:rsid w:val="00D8520C"/>
    <w:rsid w:val="00DB247D"/>
    <w:rsid w:val="00DB6FC8"/>
    <w:rsid w:val="00E75330"/>
    <w:rsid w:val="00E94C06"/>
    <w:rsid w:val="00F04A63"/>
    <w:rsid w:val="00F41D84"/>
    <w:rsid w:val="00F54277"/>
    <w:rsid w:val="00F851F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1291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' Hercules Figueira .</cp:lastModifiedBy>
  <cp:revision>20</cp:revision>
  <cp:lastPrinted>2024-03-07T18:59:00Z</cp:lastPrinted>
  <dcterms:created xsi:type="dcterms:W3CDTF">2024-09-11T16:20:00Z</dcterms:created>
  <dcterms:modified xsi:type="dcterms:W3CDTF">2025-03-02T00:52:00Z</dcterms:modified>
</cp:coreProperties>
</file>