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B394F" w:rsidRDefault="0043020A">
      <w:pPr>
        <w:jc w:val="center"/>
        <w:rPr>
          <w:b/>
          <w:sz w:val="32"/>
          <w:szCs w:val="32"/>
          <w:u w:val="single"/>
        </w:rPr>
      </w:pPr>
      <w:r>
        <w:rPr>
          <w:b/>
          <w:sz w:val="32"/>
          <w:szCs w:val="32"/>
          <w:u w:val="single"/>
        </w:rPr>
        <w:t>PARECER CONTÁBIL</w:t>
      </w:r>
    </w:p>
    <w:p w:rsidR="006B394F" w:rsidRDefault="006B394F">
      <w:pPr>
        <w:rPr>
          <w:b/>
          <w:sz w:val="32"/>
          <w:szCs w:val="32"/>
          <w:u w:val="single"/>
        </w:rPr>
      </w:pPr>
    </w:p>
    <w:p w:rsidR="006B394F" w:rsidRDefault="0043020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DISPONIBILIDADE ORÇAMENTÁRIA</w:t>
      </w:r>
    </w:p>
    <w:p w:rsidR="006B394F" w:rsidRDefault="006B394F">
      <w:pPr>
        <w:rPr>
          <w:b/>
          <w:sz w:val="24"/>
          <w:szCs w:val="24"/>
        </w:rPr>
      </w:pPr>
    </w:p>
    <w:p w:rsidR="006B394F" w:rsidRDefault="0043020A">
      <w:pPr>
        <w:jc w:val="both"/>
        <w:rPr>
          <w:sz w:val="24"/>
          <w:szCs w:val="24"/>
        </w:rPr>
      </w:pPr>
      <w:r>
        <w:rPr>
          <w:b/>
          <w:color w:val="000000" w:themeColor="text1"/>
          <w:sz w:val="24"/>
          <w:szCs w:val="24"/>
          <w:lang w:eastAsia="ar-SA"/>
        </w:rPr>
        <w:t xml:space="preserve">OBJETO: </w:t>
      </w:r>
      <w:r w:rsidR="0065579C" w:rsidRPr="0065579C">
        <w:rPr>
          <w:rFonts w:eastAsia="Merriweather"/>
          <w:b/>
          <w:sz w:val="24"/>
          <w:szCs w:val="24"/>
        </w:rPr>
        <w:t>C</w:t>
      </w:r>
      <w:r w:rsidR="0065579C">
        <w:rPr>
          <w:rFonts w:eastAsia="Merriweather"/>
          <w:b/>
          <w:sz w:val="24"/>
          <w:szCs w:val="24"/>
        </w:rPr>
        <w:t>ONTRATAÇÃO DE PESSOA JURÍDICA PARA</w:t>
      </w:r>
      <w:r w:rsidR="0065579C" w:rsidRPr="0065579C">
        <w:rPr>
          <w:rFonts w:eastAsia="Merriweather"/>
          <w:b/>
          <w:sz w:val="24"/>
          <w:szCs w:val="24"/>
        </w:rPr>
        <w:t xml:space="preserve"> CONFECÇÃO DE CARNÊS PARA OS TRIBUTOS DE IPTU, ISS, TAXA DE VIGILÂNCIA SANITÁRIA E ALVARÁ, INCLUINDO A MONTAGEM DOS MESMOS COM CÓDIGO DE BARRAS E QR CODE EM CONFORMIDADE COM O PADRÃO FEBRABAN</w:t>
      </w:r>
      <w:r w:rsidR="0065579C">
        <w:rPr>
          <w:rFonts w:eastAsia="Merriweather"/>
          <w:b/>
          <w:sz w:val="24"/>
          <w:szCs w:val="24"/>
        </w:rPr>
        <w:t>.</w:t>
      </w:r>
    </w:p>
    <w:p w:rsidR="006B394F" w:rsidRDefault="0043020A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Emitimos o presente parecer, sobre a </w:t>
      </w:r>
      <w:r>
        <w:rPr>
          <w:b/>
          <w:sz w:val="24"/>
          <w:szCs w:val="24"/>
        </w:rPr>
        <w:t xml:space="preserve">disponibilidade orçamentária </w:t>
      </w:r>
      <w:r>
        <w:rPr>
          <w:sz w:val="24"/>
          <w:szCs w:val="24"/>
        </w:rPr>
        <w:t xml:space="preserve">para abertura de processo licitatório no Município de Bandeirantes, Estado do Paraná. </w:t>
      </w:r>
    </w:p>
    <w:p w:rsidR="006B394F" w:rsidRDefault="0043020A">
      <w:pPr>
        <w:jc w:val="both"/>
        <w:rPr>
          <w:sz w:val="24"/>
          <w:szCs w:val="24"/>
        </w:rPr>
      </w:pPr>
      <w:r>
        <w:rPr>
          <w:sz w:val="24"/>
          <w:szCs w:val="24"/>
        </w:rPr>
        <w:t>Salientamos que o Município tem que ter o equilíbrio financeiro igualando-se suas despesas com suas receitas, dessa forma esclarecemos que durante o presente exercício, poderemos ter uma arrecadação que disponibilizará recursos para a licitação.</w:t>
      </w:r>
    </w:p>
    <w:p w:rsidR="006B394F" w:rsidRDefault="0043020A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Mas, no entanto, </w:t>
      </w:r>
      <w:r>
        <w:rPr>
          <w:b/>
          <w:sz w:val="24"/>
          <w:szCs w:val="24"/>
        </w:rPr>
        <w:t>alertamos que a execução do contrato só deverá ser realizada após a verificação do saldo orçamentário e a real disponibilidade financeira,</w:t>
      </w:r>
      <w:r>
        <w:rPr>
          <w:sz w:val="24"/>
          <w:szCs w:val="24"/>
        </w:rPr>
        <w:t xml:space="preserve"> ou seja, só será feito o empenho após a devida verificação.</w:t>
      </w:r>
    </w:p>
    <w:p w:rsidR="006B394F" w:rsidRDefault="0043020A">
      <w:pPr>
        <w:jc w:val="both"/>
        <w:rPr>
          <w:b/>
          <w:bCs/>
          <w:sz w:val="24"/>
          <w:szCs w:val="24"/>
          <w:u w:val="single"/>
        </w:rPr>
      </w:pPr>
      <w:r>
        <w:rPr>
          <w:b/>
          <w:bCs/>
          <w:sz w:val="24"/>
          <w:szCs w:val="24"/>
          <w:u w:val="single"/>
        </w:rPr>
        <w:t>Ainda, considerando o artigo 16 da Lei de Responsabilidade Fiscal, salientamos que a despesa é ordinária e rotineira da administração, já prevista no orçamento e destinada à manutenção das ações governamentais preexistentes, dispensando assim, as exigências previstas nos incisos I e II do art. 16 da Lei complementar nº 101, de 2000.</w:t>
      </w:r>
    </w:p>
    <w:p w:rsidR="006B394F" w:rsidRDefault="0043020A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:rsidR="006B394F" w:rsidRDefault="0043020A">
      <w:pPr>
        <w:shd w:val="clear" w:color="auto" w:fill="FFFFFF" w:themeFill="background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Para tanto, a dotação para o Processo Licitatório é a seguinte: </w:t>
      </w:r>
    </w:p>
    <w:tbl>
      <w:tblPr>
        <w:tblStyle w:val="Tabelacomgrade"/>
        <w:tblW w:w="10065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3127"/>
        <w:gridCol w:w="3961"/>
        <w:gridCol w:w="2977"/>
      </w:tblGrid>
      <w:tr w:rsidR="0065579C" w:rsidRPr="00DB58A0" w:rsidTr="00503D5F">
        <w:tc>
          <w:tcPr>
            <w:tcW w:w="3127" w:type="dxa"/>
            <w:tcBorders>
              <w:top w:val="single" w:sz="4" w:space="0" w:color="auto"/>
            </w:tcBorders>
            <w:shd w:val="clear" w:color="auto" w:fill="auto"/>
          </w:tcPr>
          <w:p w:rsidR="0065579C" w:rsidRPr="00DB58A0" w:rsidRDefault="0065579C" w:rsidP="00503D5F">
            <w:pPr>
              <w:spacing w:line="276" w:lineRule="auto"/>
              <w:ind w:right="-362" w:hanging="2"/>
              <w:jc w:val="both"/>
              <w:rPr>
                <w:rFonts w:eastAsia="Merriweather"/>
                <w:b/>
                <w:bCs/>
                <w:sz w:val="16"/>
                <w:szCs w:val="16"/>
              </w:rPr>
            </w:pPr>
            <w:r w:rsidRPr="00DB58A0">
              <w:rPr>
                <w:rFonts w:eastAsia="Merriweather"/>
                <w:b/>
                <w:bCs/>
                <w:sz w:val="16"/>
                <w:szCs w:val="16"/>
              </w:rPr>
              <w:t>DOTAÇÃO</w:t>
            </w:r>
          </w:p>
        </w:tc>
        <w:tc>
          <w:tcPr>
            <w:tcW w:w="3961" w:type="dxa"/>
            <w:tcBorders>
              <w:top w:val="single" w:sz="4" w:space="0" w:color="auto"/>
            </w:tcBorders>
            <w:shd w:val="clear" w:color="auto" w:fill="auto"/>
          </w:tcPr>
          <w:p w:rsidR="0065579C" w:rsidRPr="00DB58A0" w:rsidRDefault="0065579C" w:rsidP="00503D5F">
            <w:pPr>
              <w:spacing w:line="276" w:lineRule="auto"/>
              <w:ind w:right="-362" w:hanging="2"/>
              <w:jc w:val="both"/>
              <w:rPr>
                <w:rFonts w:eastAsia="Merriweather"/>
                <w:b/>
                <w:bCs/>
                <w:sz w:val="16"/>
                <w:szCs w:val="16"/>
              </w:rPr>
            </w:pPr>
            <w:r w:rsidRPr="00DB58A0">
              <w:rPr>
                <w:rFonts w:eastAsia="Merriweather"/>
                <w:b/>
                <w:bCs/>
                <w:sz w:val="16"/>
                <w:szCs w:val="16"/>
              </w:rPr>
              <w:t>DESCRIÇÃO</w:t>
            </w:r>
          </w:p>
        </w:tc>
        <w:tc>
          <w:tcPr>
            <w:tcW w:w="2977" w:type="dxa"/>
            <w:tcBorders>
              <w:top w:val="single" w:sz="4" w:space="0" w:color="auto"/>
            </w:tcBorders>
            <w:shd w:val="clear" w:color="auto" w:fill="auto"/>
          </w:tcPr>
          <w:p w:rsidR="0065579C" w:rsidRPr="00DB58A0" w:rsidRDefault="0065579C" w:rsidP="00503D5F">
            <w:pPr>
              <w:spacing w:line="276" w:lineRule="auto"/>
              <w:ind w:right="-362" w:hanging="2"/>
              <w:jc w:val="both"/>
              <w:rPr>
                <w:rFonts w:eastAsia="Merriweather"/>
                <w:b/>
                <w:bCs/>
                <w:sz w:val="16"/>
                <w:szCs w:val="16"/>
              </w:rPr>
            </w:pPr>
            <w:r w:rsidRPr="00DB58A0">
              <w:rPr>
                <w:rFonts w:eastAsia="Merriweather"/>
                <w:b/>
                <w:bCs/>
                <w:sz w:val="16"/>
                <w:szCs w:val="16"/>
              </w:rPr>
              <w:t>RECURSO</w:t>
            </w:r>
          </w:p>
        </w:tc>
      </w:tr>
      <w:tr w:rsidR="0065579C" w:rsidRPr="00DB58A0" w:rsidTr="00503D5F">
        <w:tc>
          <w:tcPr>
            <w:tcW w:w="3127" w:type="dxa"/>
            <w:tcBorders>
              <w:top w:val="single" w:sz="4" w:space="0" w:color="auto"/>
            </w:tcBorders>
            <w:shd w:val="clear" w:color="auto" w:fill="auto"/>
          </w:tcPr>
          <w:p w:rsidR="0065579C" w:rsidRPr="00093284" w:rsidRDefault="0065579C" w:rsidP="00503D5F">
            <w:pPr>
              <w:spacing w:line="276" w:lineRule="auto"/>
              <w:ind w:right="-362" w:hanging="2"/>
              <w:jc w:val="both"/>
              <w:rPr>
                <w:rFonts w:eastAsia="Merriweather"/>
                <w:sz w:val="16"/>
                <w:szCs w:val="16"/>
              </w:rPr>
            </w:pPr>
            <w:r w:rsidRPr="00093284">
              <w:rPr>
                <w:sz w:val="16"/>
                <w:szCs w:val="16"/>
              </w:rPr>
              <w:t>425 - 12.002.04.123.0416.2160.3.3.90.39.00</w:t>
            </w:r>
          </w:p>
        </w:tc>
        <w:tc>
          <w:tcPr>
            <w:tcW w:w="3961" w:type="dxa"/>
            <w:tcBorders>
              <w:top w:val="single" w:sz="4" w:space="0" w:color="auto"/>
            </w:tcBorders>
            <w:shd w:val="clear" w:color="auto" w:fill="auto"/>
          </w:tcPr>
          <w:p w:rsidR="0065579C" w:rsidRPr="00093284" w:rsidRDefault="0065579C" w:rsidP="00503D5F">
            <w:pPr>
              <w:spacing w:line="276" w:lineRule="auto"/>
              <w:ind w:right="-362" w:hanging="2"/>
              <w:jc w:val="both"/>
              <w:rPr>
                <w:rFonts w:eastAsia="Merriweather"/>
                <w:sz w:val="16"/>
                <w:szCs w:val="16"/>
              </w:rPr>
            </w:pPr>
            <w:r w:rsidRPr="00093284">
              <w:rPr>
                <w:sz w:val="16"/>
                <w:szCs w:val="16"/>
              </w:rPr>
              <w:t>MANUTENÇÃO DA SECRETARIA DA FAZENDA</w:t>
            </w:r>
          </w:p>
        </w:tc>
        <w:tc>
          <w:tcPr>
            <w:tcW w:w="2977" w:type="dxa"/>
            <w:tcBorders>
              <w:top w:val="single" w:sz="4" w:space="0" w:color="auto"/>
            </w:tcBorders>
            <w:shd w:val="clear" w:color="auto" w:fill="auto"/>
          </w:tcPr>
          <w:p w:rsidR="0065579C" w:rsidRPr="00093284" w:rsidRDefault="0065579C" w:rsidP="00503D5F">
            <w:pPr>
              <w:spacing w:line="276" w:lineRule="auto"/>
              <w:ind w:right="-362" w:hanging="2"/>
              <w:jc w:val="both"/>
              <w:rPr>
                <w:rFonts w:eastAsia="Merriweather"/>
                <w:sz w:val="16"/>
                <w:szCs w:val="16"/>
              </w:rPr>
            </w:pPr>
            <w:r w:rsidRPr="00093284">
              <w:rPr>
                <w:sz w:val="16"/>
                <w:szCs w:val="16"/>
              </w:rPr>
              <w:t>00000/00000.01.07. 00.00.1.500.0000</w:t>
            </w:r>
          </w:p>
        </w:tc>
      </w:tr>
    </w:tbl>
    <w:p w:rsidR="006B394F" w:rsidRDefault="006B394F">
      <w:pPr>
        <w:jc w:val="both"/>
        <w:rPr>
          <w:sz w:val="24"/>
          <w:szCs w:val="24"/>
        </w:rPr>
      </w:pPr>
    </w:p>
    <w:p w:rsidR="006B394F" w:rsidRDefault="0043020A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Assim, sugerimos que seja indicada a </w:t>
      </w:r>
      <w:r>
        <w:rPr>
          <w:b/>
          <w:sz w:val="24"/>
          <w:szCs w:val="24"/>
        </w:rPr>
        <w:t xml:space="preserve">disponibilidade financeira </w:t>
      </w:r>
      <w:r>
        <w:rPr>
          <w:sz w:val="24"/>
          <w:szCs w:val="24"/>
        </w:rPr>
        <w:t>pela Secretaria de Fazenda, pois seguindo essa metodologia, o Município de Bandeirantes estará observando as premissas da Lei de Responsabilidade Fiscal deixando-o numa Gestão Pública de Qualidade.</w:t>
      </w:r>
    </w:p>
    <w:p w:rsidR="006B394F" w:rsidRDefault="0043020A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Diante das consequências e penalidades que poderão ser aplicadas aos administradores, somos pela cautela de manter as despesas dentro dos limites previsíveis, qualquer outra posição a ser tomada pelo Executivo, será de sua inteira responsabilidade. </w:t>
      </w:r>
    </w:p>
    <w:p w:rsidR="006B394F" w:rsidRDefault="0043020A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Por fim </w:t>
      </w:r>
      <w:r>
        <w:rPr>
          <w:b/>
          <w:sz w:val="24"/>
          <w:szCs w:val="24"/>
        </w:rPr>
        <w:t>o parecer é favorável</w:t>
      </w:r>
      <w:r>
        <w:rPr>
          <w:sz w:val="24"/>
          <w:szCs w:val="24"/>
        </w:rPr>
        <w:t xml:space="preserve"> à realização do Processo Licitatório, por estar em consonância com os princípios básicos que norteiam a administração pública, porém a Secretaria interessada deverá alocar os recursos orçamentários suficientes para a referida despesa durante a execução do contrato.</w:t>
      </w:r>
    </w:p>
    <w:p w:rsidR="006B394F" w:rsidRDefault="006B394F">
      <w:pPr>
        <w:jc w:val="center"/>
        <w:rPr>
          <w:sz w:val="24"/>
          <w:szCs w:val="24"/>
        </w:rPr>
      </w:pPr>
    </w:p>
    <w:p w:rsidR="00CD4C62" w:rsidRDefault="00CD4C62" w:rsidP="00B6477F">
      <w:pPr>
        <w:jc w:val="right"/>
        <w:rPr>
          <w:sz w:val="24"/>
          <w:szCs w:val="24"/>
        </w:rPr>
      </w:pPr>
      <w:r>
        <w:rPr>
          <w:sz w:val="24"/>
          <w:szCs w:val="24"/>
        </w:rPr>
        <w:t xml:space="preserve">Bandeirantes-PR, </w:t>
      </w:r>
      <w:r w:rsidR="0065579C">
        <w:rPr>
          <w:sz w:val="24"/>
          <w:szCs w:val="24"/>
        </w:rPr>
        <w:t>25</w:t>
      </w:r>
      <w:r w:rsidR="00E55154">
        <w:rPr>
          <w:sz w:val="24"/>
          <w:szCs w:val="24"/>
        </w:rPr>
        <w:t xml:space="preserve"> de abril</w:t>
      </w:r>
      <w:r w:rsidR="00B6477F">
        <w:rPr>
          <w:sz w:val="24"/>
          <w:szCs w:val="24"/>
        </w:rPr>
        <w:t xml:space="preserve"> de 2025</w:t>
      </w:r>
    </w:p>
    <w:p w:rsidR="00CD4C62" w:rsidRDefault="00CD4C62">
      <w:pPr>
        <w:jc w:val="right"/>
        <w:rPr>
          <w:sz w:val="24"/>
          <w:szCs w:val="24"/>
        </w:rPr>
      </w:pPr>
    </w:p>
    <w:p w:rsidR="00CD4C62" w:rsidRDefault="00CD4C62" w:rsidP="00CE01C5">
      <w:pPr>
        <w:rPr>
          <w:sz w:val="24"/>
          <w:szCs w:val="24"/>
        </w:rPr>
      </w:pPr>
    </w:p>
    <w:p w:rsidR="006B394F" w:rsidRDefault="006B394F">
      <w:pPr>
        <w:jc w:val="right"/>
        <w:rPr>
          <w:sz w:val="24"/>
          <w:szCs w:val="24"/>
        </w:rPr>
      </w:pPr>
    </w:p>
    <w:p w:rsidR="0065579C" w:rsidRDefault="0065579C">
      <w:pPr>
        <w:jc w:val="right"/>
        <w:rPr>
          <w:sz w:val="24"/>
          <w:szCs w:val="24"/>
        </w:rPr>
      </w:pPr>
    </w:p>
    <w:p w:rsidR="006B394F" w:rsidRDefault="0043020A">
      <w:pPr>
        <w:ind w:hanging="1"/>
        <w:jc w:val="center"/>
        <w:rPr>
          <w:b/>
          <w:sz w:val="24"/>
        </w:rPr>
      </w:pPr>
      <w:proofErr w:type="spellStart"/>
      <w:r>
        <w:rPr>
          <w:b/>
          <w:sz w:val="24"/>
        </w:rPr>
        <w:t>Jaciani</w:t>
      </w:r>
      <w:proofErr w:type="spellEnd"/>
      <w:r>
        <w:rPr>
          <w:b/>
          <w:sz w:val="24"/>
        </w:rPr>
        <w:t xml:space="preserve"> Carolina Milani Della Mura </w:t>
      </w:r>
    </w:p>
    <w:p w:rsidR="006B394F" w:rsidRDefault="0043020A">
      <w:pPr>
        <w:ind w:hanging="1"/>
        <w:jc w:val="center"/>
        <w:rPr>
          <w:sz w:val="24"/>
        </w:rPr>
      </w:pPr>
      <w:r>
        <w:rPr>
          <w:sz w:val="24"/>
        </w:rPr>
        <w:t xml:space="preserve">Contadora </w:t>
      </w:r>
    </w:p>
    <w:p w:rsidR="006B394F" w:rsidRDefault="0043020A">
      <w:pPr>
        <w:jc w:val="center"/>
        <w:rPr>
          <w:sz w:val="24"/>
        </w:rPr>
      </w:pPr>
      <w:r>
        <w:rPr>
          <w:sz w:val="24"/>
        </w:rPr>
        <w:t>CRC-PR-061045/O-4</w:t>
      </w:r>
    </w:p>
    <w:p w:rsidR="006B394F" w:rsidRDefault="006B394F">
      <w:pPr>
        <w:rPr>
          <w:sz w:val="24"/>
        </w:rPr>
      </w:pPr>
    </w:p>
    <w:p w:rsidR="006B394F" w:rsidRDefault="006B394F">
      <w:pPr>
        <w:jc w:val="center"/>
        <w:rPr>
          <w:sz w:val="24"/>
        </w:rPr>
      </w:pPr>
    </w:p>
    <w:p w:rsidR="006B394F" w:rsidRDefault="006B394F">
      <w:pPr>
        <w:jc w:val="center"/>
        <w:rPr>
          <w:sz w:val="24"/>
        </w:rPr>
      </w:pPr>
    </w:p>
    <w:p w:rsidR="003B5FC7" w:rsidRDefault="003B5FC7">
      <w:pPr>
        <w:jc w:val="center"/>
        <w:rPr>
          <w:sz w:val="24"/>
        </w:rPr>
      </w:pPr>
    </w:p>
    <w:p w:rsidR="007F01D8" w:rsidRDefault="007F01D8" w:rsidP="003B5FC7">
      <w:pPr>
        <w:jc w:val="center"/>
        <w:rPr>
          <w:b/>
          <w:sz w:val="24"/>
          <w:u w:val="single"/>
        </w:rPr>
      </w:pPr>
    </w:p>
    <w:p w:rsidR="00E55154" w:rsidRDefault="00E55154" w:rsidP="003B5FC7">
      <w:pPr>
        <w:jc w:val="center"/>
        <w:rPr>
          <w:b/>
          <w:sz w:val="24"/>
          <w:u w:val="single"/>
        </w:rPr>
      </w:pPr>
    </w:p>
    <w:p w:rsidR="00E55154" w:rsidRDefault="00E55154" w:rsidP="003B5FC7">
      <w:pPr>
        <w:jc w:val="center"/>
        <w:rPr>
          <w:b/>
          <w:sz w:val="24"/>
          <w:u w:val="single"/>
        </w:rPr>
      </w:pPr>
    </w:p>
    <w:p w:rsidR="00E55154" w:rsidRDefault="00E55154" w:rsidP="003B5FC7">
      <w:pPr>
        <w:jc w:val="center"/>
        <w:rPr>
          <w:b/>
          <w:sz w:val="24"/>
          <w:u w:val="single"/>
        </w:rPr>
      </w:pPr>
    </w:p>
    <w:p w:rsidR="00E55154" w:rsidRDefault="00E55154" w:rsidP="0065579C">
      <w:pPr>
        <w:rPr>
          <w:b/>
          <w:sz w:val="24"/>
          <w:u w:val="single"/>
        </w:rPr>
      </w:pPr>
    </w:p>
    <w:p w:rsidR="00E55154" w:rsidRDefault="00E55154" w:rsidP="003B5FC7">
      <w:pPr>
        <w:jc w:val="center"/>
        <w:rPr>
          <w:b/>
          <w:sz w:val="24"/>
          <w:u w:val="single"/>
        </w:rPr>
      </w:pPr>
    </w:p>
    <w:p w:rsidR="00E55154" w:rsidRDefault="00E55154" w:rsidP="003B5FC7">
      <w:pPr>
        <w:jc w:val="center"/>
        <w:rPr>
          <w:b/>
          <w:sz w:val="24"/>
          <w:u w:val="single"/>
        </w:rPr>
      </w:pPr>
    </w:p>
    <w:p w:rsidR="003B5FC7" w:rsidRDefault="003B5FC7" w:rsidP="003B5FC7">
      <w:pPr>
        <w:jc w:val="center"/>
        <w:rPr>
          <w:b/>
          <w:sz w:val="24"/>
          <w:u w:val="single"/>
        </w:rPr>
      </w:pPr>
      <w:r w:rsidRPr="003B5FC7">
        <w:rPr>
          <w:b/>
          <w:sz w:val="24"/>
          <w:u w:val="single"/>
        </w:rPr>
        <w:t>DECLARAÇÃO DE FRACIONAMENTO DE DESPESAS</w:t>
      </w:r>
    </w:p>
    <w:p w:rsidR="003B5FC7" w:rsidRDefault="003B5FC7" w:rsidP="003B5FC7">
      <w:pPr>
        <w:jc w:val="center"/>
        <w:rPr>
          <w:b/>
          <w:sz w:val="24"/>
          <w:u w:val="single"/>
        </w:rPr>
      </w:pPr>
    </w:p>
    <w:p w:rsidR="007F01D8" w:rsidRDefault="007F01D8" w:rsidP="007A5667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              </w:t>
      </w:r>
      <w:bookmarkStart w:id="0" w:name="_GoBack"/>
      <w:bookmarkEnd w:id="0"/>
    </w:p>
    <w:p w:rsidR="007F01D8" w:rsidRDefault="007F01D8" w:rsidP="007A5667">
      <w:pPr>
        <w:jc w:val="both"/>
        <w:rPr>
          <w:sz w:val="24"/>
          <w:szCs w:val="24"/>
        </w:rPr>
      </w:pPr>
    </w:p>
    <w:p w:rsidR="007F01D8" w:rsidRDefault="007F01D8" w:rsidP="007A5667">
      <w:pPr>
        <w:jc w:val="both"/>
        <w:rPr>
          <w:sz w:val="24"/>
          <w:szCs w:val="24"/>
        </w:rPr>
      </w:pPr>
    </w:p>
    <w:p w:rsidR="00484BB3" w:rsidRPr="00484BB3" w:rsidRDefault="007F01D8" w:rsidP="00484BB3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            </w:t>
      </w:r>
      <w:r w:rsidR="00484BB3" w:rsidRPr="00484BB3">
        <w:rPr>
          <w:sz w:val="24"/>
          <w:szCs w:val="24"/>
        </w:rPr>
        <w:t>Declaro, na qualidade de Secretária da pasta solicitante, que, após consulta ao banco de dados do município, verificamos que a presente contratação não ultrapassará o limite estabelecido no Artigo 75, inciso II, da Lei nº 14.133/2021, e que não ocorrerá fracionamento da despesa para a contratação dos serviços de confecção de carnês de tributos.</w:t>
      </w:r>
    </w:p>
    <w:p w:rsidR="00484BB3" w:rsidRPr="00484BB3" w:rsidRDefault="00484BB3" w:rsidP="00484BB3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           </w:t>
      </w:r>
      <w:r w:rsidRPr="00484BB3">
        <w:rPr>
          <w:sz w:val="24"/>
          <w:szCs w:val="24"/>
        </w:rPr>
        <w:t>Conforme os dados abaixo, constatamos que não foi realizado nenhum processo com a mesma finalidade no ano orçamentário de 2025. Outro ponto relevante a ser destacado é o CNAE utilizado no processo, que se baseia na atividade econômica principal ou secundária (18.13-0-99, 18.11-3-03 ou outras atividades pertencentes ao mesmo ramo), não sendo identificada a mesma singularidade nos demais processos até a presente data</w:t>
      </w:r>
    </w:p>
    <w:p w:rsidR="00B140C6" w:rsidRDefault="00B140C6" w:rsidP="00484BB3">
      <w:pPr>
        <w:jc w:val="both"/>
        <w:rPr>
          <w:sz w:val="24"/>
          <w:szCs w:val="24"/>
        </w:rPr>
      </w:pPr>
    </w:p>
    <w:p w:rsidR="00B73785" w:rsidRDefault="00B73785" w:rsidP="00B140C6">
      <w:pPr>
        <w:jc w:val="both"/>
        <w:rPr>
          <w:sz w:val="24"/>
          <w:szCs w:val="24"/>
        </w:rPr>
      </w:pPr>
      <w:r>
        <w:rPr>
          <w:noProof/>
        </w:rPr>
        <w:drawing>
          <wp:inline distT="0" distB="0" distL="0" distR="0" wp14:anchorId="036C83C5" wp14:editId="66607635">
            <wp:extent cx="6569710" cy="3695700"/>
            <wp:effectExtent l="0" t="0" r="254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569710" cy="369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40C6" w:rsidRPr="00B140C6" w:rsidRDefault="00B140C6" w:rsidP="00B140C6">
      <w:pPr>
        <w:jc w:val="both"/>
        <w:rPr>
          <w:sz w:val="24"/>
          <w:szCs w:val="24"/>
        </w:rPr>
      </w:pPr>
    </w:p>
    <w:p w:rsidR="00AB4A99" w:rsidRPr="004A614C" w:rsidRDefault="00AB4A99" w:rsidP="00B140C6">
      <w:pPr>
        <w:jc w:val="both"/>
        <w:rPr>
          <w:sz w:val="24"/>
          <w:szCs w:val="24"/>
        </w:rPr>
      </w:pPr>
    </w:p>
    <w:p w:rsidR="004A614C" w:rsidRDefault="00B73785" w:rsidP="004A614C">
      <w:pPr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FB64E0C" wp14:editId="3209D815">
            <wp:extent cx="6569710" cy="3695700"/>
            <wp:effectExtent l="0" t="0" r="254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569710" cy="369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614C" w:rsidRDefault="00B8573B" w:rsidP="004A614C">
      <w:pPr>
        <w:jc w:val="right"/>
        <w:rPr>
          <w:sz w:val="24"/>
          <w:szCs w:val="24"/>
        </w:rPr>
      </w:pPr>
      <w:r>
        <w:rPr>
          <w:sz w:val="24"/>
          <w:szCs w:val="24"/>
        </w:rPr>
        <w:t xml:space="preserve">Bandeirantes-PR, </w:t>
      </w:r>
      <w:r w:rsidR="00F5036A">
        <w:rPr>
          <w:sz w:val="24"/>
          <w:szCs w:val="24"/>
        </w:rPr>
        <w:t>25 de abril</w:t>
      </w:r>
      <w:r w:rsidR="00B140C6">
        <w:rPr>
          <w:sz w:val="24"/>
          <w:szCs w:val="24"/>
        </w:rPr>
        <w:t xml:space="preserve"> </w:t>
      </w:r>
      <w:r w:rsidR="004A614C">
        <w:rPr>
          <w:sz w:val="24"/>
          <w:szCs w:val="24"/>
        </w:rPr>
        <w:t>de 2025</w:t>
      </w:r>
    </w:p>
    <w:p w:rsidR="004A614C" w:rsidRDefault="004A614C" w:rsidP="004A614C">
      <w:pPr>
        <w:jc w:val="right"/>
        <w:rPr>
          <w:sz w:val="24"/>
          <w:szCs w:val="24"/>
        </w:rPr>
      </w:pPr>
    </w:p>
    <w:p w:rsidR="004A614C" w:rsidRDefault="004A614C" w:rsidP="004A614C">
      <w:pPr>
        <w:jc w:val="right"/>
        <w:rPr>
          <w:sz w:val="24"/>
          <w:szCs w:val="24"/>
        </w:rPr>
      </w:pPr>
    </w:p>
    <w:p w:rsidR="004A614C" w:rsidRDefault="004A614C" w:rsidP="004A614C">
      <w:pPr>
        <w:jc w:val="right"/>
        <w:rPr>
          <w:sz w:val="24"/>
          <w:szCs w:val="24"/>
        </w:rPr>
      </w:pPr>
    </w:p>
    <w:p w:rsidR="004A614C" w:rsidRDefault="004A614C" w:rsidP="004A614C">
      <w:pPr>
        <w:rPr>
          <w:sz w:val="24"/>
          <w:szCs w:val="24"/>
        </w:rPr>
      </w:pPr>
    </w:p>
    <w:p w:rsidR="004A614C" w:rsidRDefault="004A614C" w:rsidP="004A614C">
      <w:pPr>
        <w:jc w:val="right"/>
        <w:rPr>
          <w:sz w:val="24"/>
          <w:szCs w:val="24"/>
        </w:rPr>
      </w:pPr>
    </w:p>
    <w:p w:rsidR="004A614C" w:rsidRDefault="00F5036A" w:rsidP="004A614C">
      <w:pPr>
        <w:ind w:hanging="1"/>
        <w:jc w:val="center"/>
        <w:rPr>
          <w:b/>
          <w:sz w:val="24"/>
        </w:rPr>
      </w:pPr>
      <w:proofErr w:type="spellStart"/>
      <w:r>
        <w:rPr>
          <w:b/>
          <w:sz w:val="24"/>
        </w:rPr>
        <w:t>Ocimara</w:t>
      </w:r>
      <w:proofErr w:type="spellEnd"/>
      <w:r>
        <w:rPr>
          <w:b/>
          <w:sz w:val="24"/>
        </w:rPr>
        <w:t xml:space="preserve"> da Silva Marquito</w:t>
      </w:r>
    </w:p>
    <w:p w:rsidR="004A614C" w:rsidRDefault="00F5036A" w:rsidP="004A614C">
      <w:pPr>
        <w:jc w:val="center"/>
        <w:rPr>
          <w:sz w:val="24"/>
        </w:rPr>
      </w:pPr>
      <w:r>
        <w:rPr>
          <w:sz w:val="24"/>
        </w:rPr>
        <w:t>Secretária Municipal da Fazenda</w:t>
      </w:r>
    </w:p>
    <w:p w:rsidR="004A614C" w:rsidRDefault="004A614C" w:rsidP="004A614C">
      <w:pPr>
        <w:rPr>
          <w:sz w:val="24"/>
          <w:szCs w:val="24"/>
        </w:rPr>
      </w:pPr>
    </w:p>
    <w:p w:rsidR="007A5667" w:rsidRPr="004A614C" w:rsidRDefault="004A614C" w:rsidP="004A614C">
      <w:pPr>
        <w:tabs>
          <w:tab w:val="left" w:pos="5895"/>
        </w:tabs>
        <w:rPr>
          <w:sz w:val="24"/>
          <w:szCs w:val="24"/>
        </w:rPr>
      </w:pPr>
      <w:r>
        <w:rPr>
          <w:sz w:val="24"/>
          <w:szCs w:val="24"/>
        </w:rPr>
        <w:tab/>
      </w:r>
    </w:p>
    <w:sectPr w:rsidR="007A5667" w:rsidRPr="004A614C">
      <w:headerReference w:type="default" r:id="rId10"/>
      <w:pgSz w:w="11906" w:h="16838"/>
      <w:pgMar w:top="851" w:right="567" w:bottom="1276" w:left="993" w:header="510" w:footer="0" w:gutter="0"/>
      <w:cols w:space="720"/>
      <w:formProt w:val="0"/>
      <w:docGrid w:linePitch="360" w:charSpace="819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D4EB1" w:rsidRDefault="002D4EB1">
      <w:r>
        <w:separator/>
      </w:r>
    </w:p>
  </w:endnote>
  <w:endnote w:type="continuationSeparator" w:id="0">
    <w:p w:rsidR="002D4EB1" w:rsidRDefault="002D4E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MT">
    <w:charset w:val="00"/>
    <w:family w:val="roman"/>
    <w:pitch w:val="variable"/>
  </w:font>
  <w:font w:name="Merriweather">
    <w:altName w:val="Times New Roman"/>
    <w:charset w:val="00"/>
    <w:family w:val="roman"/>
    <w:pitch w:val="variable"/>
  </w:font>
  <w:font w:name="SimHei">
    <w:altName w:val="黑体"/>
    <w:panose1 w:val="02010600030101010101"/>
    <w:charset w:val="86"/>
    <w:family w:val="modern"/>
    <w:notTrueType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D4EB1" w:rsidRDefault="002D4EB1">
      <w:r>
        <w:separator/>
      </w:r>
    </w:p>
  </w:footnote>
  <w:footnote w:type="continuationSeparator" w:id="0">
    <w:p w:rsidR="002D4EB1" w:rsidRDefault="002D4EB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394F" w:rsidRDefault="0043020A">
    <w:pPr>
      <w:pStyle w:val="Cabealho"/>
    </w:pPr>
    <w:r>
      <w:rPr>
        <w:noProof/>
      </w:rPr>
      <mc:AlternateContent>
        <mc:Choice Requires="wps">
          <w:drawing>
            <wp:anchor distT="0" distB="3175" distL="1270" distR="2540" simplePos="0" relativeHeight="251656704" behindDoc="1" locked="0" layoutInCell="1" allowOverlap="1">
              <wp:simplePos x="0" y="0"/>
              <wp:positionH relativeFrom="column">
                <wp:posOffset>-284480</wp:posOffset>
              </wp:positionH>
              <wp:positionV relativeFrom="paragraph">
                <wp:posOffset>5715</wp:posOffset>
              </wp:positionV>
              <wp:extent cx="1844040" cy="1118235"/>
              <wp:effectExtent l="0" t="635" r="0" b="0"/>
              <wp:wrapNone/>
              <wp:docPr id="1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843920" cy="11181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:rsidR="006B394F" w:rsidRDefault="0043020A">
                          <w:pPr>
                            <w:pStyle w:val="Contedodoquadro"/>
                            <w:ind w:left="142"/>
                          </w:pPr>
                          <w:r>
                            <w:object w:dxaOrig="7440" w:dyaOrig="7725">
                              <v:shapetype id="_x0000_t75" coordsize="21600,21600" o:spt="75" o:preferrelative="t" path="m@4@5l@4@11@9@11@9@5xe" filled="f" stroked="f">
                                <v:stroke joinstyle="miter"/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  <v:path o:extrusionok="f" gradientshapeok="t" o:connecttype="rect"/>
                                <o:lock v:ext="edit" aspectratio="t"/>
                              </v:shapetype>
                              <v:shape id="ole_rId1" o:spid="_x0000_i1025" type="#_x0000_t75" style="width:85.55pt;height:81.1pt;visibility:visible;mso-wrap-distance-right:0" o:ole="">
                                <v:imagedata r:id="rId1" o:title=""/>
                              </v:shape>
                              <o:OLEObject Type="Embed" ProgID="PBrush" ShapeID="ole_rId1" DrawAspect="Content" ObjectID="_1807080114" r:id="rId2"/>
                            </w:object>
                          </w:r>
                        </w:p>
                      </w:txbxContent>
                    </wps:txbx>
                    <wps:bodyPr anchor="t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Text Box 2" o:spid="_x0000_s1026" style="position:absolute;margin-left:-22.4pt;margin-top:.45pt;width:145.2pt;height:88.05pt;z-index:-251659776;visibility:visible;mso-wrap-style:square;mso-wrap-distance-left:.1pt;mso-wrap-distance-top:0;mso-wrap-distance-right:.2pt;mso-wrap-distance-bottom:.2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" stroked="f" strokeweight="0">
              <v:textbox style="mso-fit-shape-to-text:t">
                <w:txbxContent>
                  <w:p w:rsidR="006B394F" w:rsidRDefault="0043020A">
                    <w:pPr>
                      <w:pStyle w:val="Contedodoquadro"/>
                      <w:ind w:left="142"/>
                    </w:pPr>
                    <w:r>
                      <w:object w:dxaOrig="7440" w:dyaOrig="7725">
                        <v:shape id="ole_rId1" o:spid="_x0000_i1025" type="#_x0000_t75" style="width:85.55pt;height:81.1pt;visibility:visible;mso-wrap-distance-right:0" o:ole="">
                          <v:imagedata r:id="rId1" o:title=""/>
                        </v:shape>
                        <o:OLEObject Type="Embed" ProgID="PBrush" ShapeID="ole_rId1" DrawAspect="Content" ObjectID="_1807080114" r:id="rId3"/>
                      </w:objec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6985" simplePos="0" relativeHeight="251657728" behindDoc="1" locked="0" layoutInCell="1" allowOverlap="1">
              <wp:simplePos x="0" y="0"/>
              <wp:positionH relativeFrom="column">
                <wp:posOffset>958850</wp:posOffset>
              </wp:positionH>
              <wp:positionV relativeFrom="paragraph">
                <wp:posOffset>137160</wp:posOffset>
              </wp:positionV>
              <wp:extent cx="5327650" cy="609600"/>
              <wp:effectExtent l="0" t="0" r="0" b="0"/>
              <wp:wrapNone/>
              <wp:docPr id="2" name="Text Box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327640" cy="6094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tbl>
                          <w:tblPr>
                            <w:tblW w:w="10490" w:type="dxa"/>
                            <w:tblInd w:w="-639" w:type="dxa"/>
                            <w:tblLayout w:type="fixed"/>
                            <w:tblCellMar>
                              <w:left w:w="70" w:type="dxa"/>
                              <w:right w:w="7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10490"/>
                          </w:tblGrid>
                          <w:tr w:rsidR="006B394F">
                            <w:trPr>
                              <w:trHeight w:val="1275"/>
                            </w:trPr>
                            <w:tc>
                              <w:tcPr>
                                <w:tcW w:w="10490" w:type="dxa"/>
                              </w:tcPr>
                              <w:p w:rsidR="006B394F" w:rsidRDefault="0043020A">
                                <w:pPr>
                                  <w:pStyle w:val="Cabealho"/>
                                  <w:widowControl w:val="0"/>
                                  <w:tabs>
                                    <w:tab w:val="clear" w:pos="8838"/>
                                    <w:tab w:val="right" w:pos="9356"/>
                                  </w:tabs>
                                  <w:jc w:val="center"/>
                                  <w:rPr>
                                    <w:b/>
                                    <w:sz w:val="32"/>
                                  </w:rPr>
                                </w:pPr>
                                <w:r>
                                  <w:rPr>
                                    <w:b/>
                                    <w:sz w:val="32"/>
                                    <w:szCs w:val="24"/>
                                  </w:rPr>
                                  <w:t>PREFEITURA MUNICIPAL DE BANDEIRANTES</w:t>
                                </w:r>
                              </w:p>
                              <w:p w:rsidR="006B394F" w:rsidRDefault="0043020A">
                                <w:pPr>
                                  <w:pStyle w:val="Cabealho"/>
                                  <w:widowControl w:val="0"/>
                                  <w:tabs>
                                    <w:tab w:val="clear" w:pos="4419"/>
                                    <w:tab w:val="clear" w:pos="8838"/>
                                    <w:tab w:val="center" w:pos="3971"/>
                                    <w:tab w:val="right" w:pos="9356"/>
                                  </w:tabs>
                                  <w:spacing w:before="120"/>
                                  <w:jc w:val="center"/>
                                  <w:rPr>
                                    <w:sz w:val="36"/>
                                  </w:rPr>
                                </w:pPr>
                                <w:r>
                                  <w:rPr>
                                    <w:sz w:val="28"/>
                                    <w:szCs w:val="24"/>
                                  </w:rPr>
                                  <w:t>ESTADO DO PARANÁ</w:t>
                                </w:r>
                              </w:p>
                            </w:tc>
                          </w:tr>
                        </w:tbl>
                        <w:p w:rsidR="006B394F" w:rsidRDefault="006B394F">
                          <w:pPr>
                            <w:pStyle w:val="Contedodoquadro"/>
                          </w:pPr>
                        </w:p>
                      </w:txbxContent>
                    </wps:txbx>
                    <wps:bodyPr anchor="t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3" o:spid="_x0000_s1027" style="position:absolute;margin-left:75.5pt;margin-top:10.8pt;width:419.5pt;height:48pt;z-index:-251658752;visibility:visible;mso-wrap-style:square;mso-wrap-distance-left:0;mso-wrap-distance-top:0;mso-wrap-distance-right:.55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" stroked="f" strokeweight="0">
              <v:textbox>
                <w:txbxContent>
                  <w:tbl>
                    <w:tblPr>
                      <w:tblW w:w="10490" w:type="dxa"/>
                      <w:tblInd w:w="-639" w:type="dxa"/>
                      <w:tblLayout w:type="fixed"/>
                      <w:tblCellMar>
                        <w:left w:w="70" w:type="dxa"/>
                        <w:right w:w="7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10490"/>
                    </w:tblGrid>
                    <w:tr w:rsidR="006B394F">
                      <w:trPr>
                        <w:trHeight w:val="1275"/>
                      </w:trPr>
                      <w:tc>
                        <w:tcPr>
                          <w:tcW w:w="10490" w:type="dxa"/>
                        </w:tcPr>
                        <w:p w:rsidR="006B394F" w:rsidRDefault="0043020A">
                          <w:pPr>
                            <w:pStyle w:val="Cabealho"/>
                            <w:widowControl w:val="0"/>
                            <w:tabs>
                              <w:tab w:val="clear" w:pos="8838"/>
                              <w:tab w:val="right" w:pos="9356"/>
                            </w:tabs>
                            <w:jc w:val="center"/>
                            <w:rPr>
                              <w:b/>
                              <w:sz w:val="32"/>
                            </w:rPr>
                          </w:pPr>
                          <w:r>
                            <w:rPr>
                              <w:b/>
                              <w:sz w:val="32"/>
                              <w:szCs w:val="24"/>
                            </w:rPr>
                            <w:t>PREFEITURA MUNICIPAL DE BANDEIRANTES</w:t>
                          </w:r>
                        </w:p>
                        <w:p w:rsidR="006B394F" w:rsidRDefault="0043020A">
                          <w:pPr>
                            <w:pStyle w:val="Cabealho"/>
                            <w:widowControl w:val="0"/>
                            <w:tabs>
                              <w:tab w:val="clear" w:pos="4419"/>
                              <w:tab w:val="clear" w:pos="8838"/>
                              <w:tab w:val="center" w:pos="3971"/>
                              <w:tab w:val="right" w:pos="9356"/>
                            </w:tabs>
                            <w:spacing w:before="120"/>
                            <w:jc w:val="center"/>
                            <w:rPr>
                              <w:sz w:val="36"/>
                            </w:rPr>
                          </w:pPr>
                          <w:r>
                            <w:rPr>
                              <w:sz w:val="28"/>
                              <w:szCs w:val="24"/>
                            </w:rPr>
                            <w:t>ESTADO DO PARANÁ</w:t>
                          </w:r>
                        </w:p>
                      </w:tc>
                    </w:tr>
                  </w:tbl>
                  <w:p w:rsidR="006B394F" w:rsidRDefault="006B394F">
                    <w:pPr>
                      <w:pStyle w:val="Contedodoquadro"/>
                    </w:pPr>
                  </w:p>
                </w:txbxContent>
              </v:textbox>
            </v:rect>
          </w:pict>
        </mc:Fallback>
      </mc:AlternateContent>
    </w:r>
    <w:r w:rsidR="00A07A5D"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1" allowOverlap="1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35000" cy="635000"/>
              <wp:effectExtent l="0" t="0" r="3175" b="3175"/>
              <wp:wrapNone/>
              <wp:docPr id="3" name="_x0000_tole_rId1" hidden="1"/>
              <wp:cNvGraphicFramePr>
                <a:graphicFrameLocks xmlns:a="http://schemas.openxmlformats.org/drawingml/2006/main" noSelect="1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Select="1" noChangeAspect="1" noChangeArrowheads="1"/>
                    </wps:cNvSpPr>
                    <wps:spPr bwMode="auto">
                      <a:xfrm>
                        <a:off x="0" y="0"/>
                        <a:ext cx="635000" cy="635000"/>
                      </a:xfrm>
                      <a:prstGeom prst="rect">
                        <a:avLst/>
                      </a:prstGeom>
                      <a:noFill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DBEF6D6" id="_x0000_tole_rId1" o:spid="_x0000_s1026" style="position:absolute;margin-left:0;margin-top:0;width:50pt;height:50pt;z-index:251658752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" filled="f" stroked="f">
              <o:lock v:ext="edit" aspectratio="t" selection="t"/>
            </v:rect>
          </w:pict>
        </mc:Fallback>
      </mc:AlternateContent>
    </w:r>
  </w:p>
  <w:p w:rsidR="006B394F" w:rsidRDefault="006B394F">
    <w:pPr>
      <w:pStyle w:val="Cabealho"/>
    </w:pPr>
  </w:p>
  <w:p w:rsidR="006B394F" w:rsidRDefault="006B394F">
    <w:pPr>
      <w:pStyle w:val="Cabealho"/>
    </w:pPr>
  </w:p>
  <w:p w:rsidR="006B394F" w:rsidRDefault="006B394F">
    <w:pPr>
      <w:pStyle w:val="Cabealho"/>
      <w:ind w:left="142"/>
    </w:pPr>
  </w:p>
  <w:p w:rsidR="006B394F" w:rsidRDefault="006B394F">
    <w:pPr>
      <w:pStyle w:val="Cabealho"/>
    </w:pPr>
  </w:p>
  <w:p w:rsidR="006B394F" w:rsidRDefault="006B394F">
    <w:pPr>
      <w:pStyle w:val="Cabealho"/>
    </w:pPr>
  </w:p>
  <w:p w:rsidR="006B394F" w:rsidRDefault="006B394F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B394F"/>
    <w:rsid w:val="00087167"/>
    <w:rsid w:val="001B1777"/>
    <w:rsid w:val="00200187"/>
    <w:rsid w:val="002D4EB1"/>
    <w:rsid w:val="00333D25"/>
    <w:rsid w:val="003B5FC7"/>
    <w:rsid w:val="0043020A"/>
    <w:rsid w:val="00484BB3"/>
    <w:rsid w:val="004978EC"/>
    <w:rsid w:val="004A614C"/>
    <w:rsid w:val="00573CB5"/>
    <w:rsid w:val="005E4DF0"/>
    <w:rsid w:val="0061262C"/>
    <w:rsid w:val="0065579C"/>
    <w:rsid w:val="006B394F"/>
    <w:rsid w:val="007A5667"/>
    <w:rsid w:val="007F01D8"/>
    <w:rsid w:val="007F6573"/>
    <w:rsid w:val="008426CE"/>
    <w:rsid w:val="008B7661"/>
    <w:rsid w:val="009B4B92"/>
    <w:rsid w:val="009D09D3"/>
    <w:rsid w:val="00A07A5D"/>
    <w:rsid w:val="00A40C27"/>
    <w:rsid w:val="00A60697"/>
    <w:rsid w:val="00AB4A99"/>
    <w:rsid w:val="00AC5073"/>
    <w:rsid w:val="00B140C6"/>
    <w:rsid w:val="00B31EE3"/>
    <w:rsid w:val="00B6477F"/>
    <w:rsid w:val="00B73785"/>
    <w:rsid w:val="00B8573B"/>
    <w:rsid w:val="00BD410F"/>
    <w:rsid w:val="00C16820"/>
    <w:rsid w:val="00CB5252"/>
    <w:rsid w:val="00CD4C62"/>
    <w:rsid w:val="00CE01C5"/>
    <w:rsid w:val="00CF56D1"/>
    <w:rsid w:val="00D518CD"/>
    <w:rsid w:val="00E55154"/>
    <w:rsid w:val="00E8703B"/>
    <w:rsid w:val="00E94711"/>
    <w:rsid w:val="00F5036A"/>
    <w:rsid w:val="00FA2F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zh-CN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9598B05E-4F0F-4617-A6CD-5F5B80C1C3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SimSun" w:hAnsi="Times New Roman" w:cs="Times New Roman"/>
        <w:lang w:val="pt-BR" w:eastAsia="zh-CN" w:bidi="hi-IN"/>
      </w:rPr>
    </w:rPrDefault>
    <w:pPrDefault>
      <w:pPr>
        <w:suppressAutoHyphens/>
      </w:pPr>
    </w:pPrDefault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99" w:qFormat="1"/>
    <w:lsdException w:name="footer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1" w:qFormat="1"/>
    <w:lsdException w:name="Body Text Indent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qFormat="1"/>
    <w:lsdException w:name="Body Text 3" w:semiHidden="1" w:unhideWhenUsed="1"/>
    <w:lsdException w:name="Body Text Indent 2" w:qFormat="1"/>
    <w:lsdException w:name="Body Text Indent 3" w:qFormat="1"/>
    <w:lsdException w:name="Block Text" w:qFormat="1"/>
    <w:lsdException w:name="Hyperlink" w:qFormat="1"/>
    <w:lsdException w:name="FollowedHyperlink" w:qFormat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 w:uiPriority="99" w:qFormat="1"/>
    <w:lsdException w:name="No Spacing" w:uiPriority="99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eastAsia="Times New Roman"/>
      <w:lang w:eastAsia="pt-BR" w:bidi="ar-SA"/>
    </w:rPr>
  </w:style>
  <w:style w:type="paragraph" w:styleId="Ttulo1">
    <w:name w:val="heading 1"/>
    <w:basedOn w:val="Normal"/>
    <w:next w:val="Normal"/>
    <w:qFormat/>
    <w:pPr>
      <w:keepNext/>
      <w:outlineLvl w:val="0"/>
    </w:pPr>
    <w:rPr>
      <w:sz w:val="40"/>
    </w:rPr>
  </w:style>
  <w:style w:type="paragraph" w:styleId="Ttulo2">
    <w:name w:val="heading 2"/>
    <w:basedOn w:val="Normal"/>
    <w:next w:val="Normal"/>
    <w:qFormat/>
    <w:pPr>
      <w:keepNext/>
      <w:spacing w:line="360" w:lineRule="auto"/>
      <w:ind w:firstLine="708"/>
      <w:jc w:val="right"/>
      <w:outlineLvl w:val="1"/>
    </w:pPr>
    <w:rPr>
      <w:sz w:val="24"/>
    </w:rPr>
  </w:style>
  <w:style w:type="paragraph" w:styleId="Ttulo3">
    <w:name w:val="heading 3"/>
    <w:basedOn w:val="Normal"/>
    <w:next w:val="Normal"/>
    <w:qFormat/>
    <w:pPr>
      <w:keepNext/>
      <w:jc w:val="center"/>
      <w:outlineLvl w:val="2"/>
    </w:pPr>
    <w:rPr>
      <w:b/>
      <w:i/>
      <w:sz w:val="32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sz w:val="24"/>
    </w:rPr>
  </w:style>
  <w:style w:type="paragraph" w:styleId="Ttulo5">
    <w:name w:val="heading 5"/>
    <w:basedOn w:val="Normal"/>
    <w:next w:val="Normal"/>
    <w:qFormat/>
    <w:pPr>
      <w:keepNext/>
      <w:jc w:val="center"/>
      <w:outlineLvl w:val="4"/>
    </w:pPr>
    <w:rPr>
      <w:b/>
    </w:rPr>
  </w:style>
  <w:style w:type="paragraph" w:styleId="Ttulo6">
    <w:name w:val="heading 6"/>
    <w:basedOn w:val="Normal"/>
    <w:next w:val="Normal"/>
    <w:qFormat/>
    <w:pPr>
      <w:keepNext/>
      <w:jc w:val="both"/>
      <w:textAlignment w:val="baseline"/>
      <w:outlineLvl w:val="5"/>
    </w:pPr>
    <w:rPr>
      <w:color w:val="000000"/>
      <w:sz w:val="24"/>
      <w:u w:val="single"/>
    </w:rPr>
  </w:style>
  <w:style w:type="paragraph" w:styleId="Ttulo7">
    <w:name w:val="heading 7"/>
    <w:basedOn w:val="Normal"/>
    <w:next w:val="Normal"/>
    <w:qFormat/>
    <w:pPr>
      <w:keepNext/>
      <w:ind w:firstLine="1134"/>
      <w:jc w:val="both"/>
      <w:outlineLvl w:val="6"/>
    </w:pPr>
    <w:rPr>
      <w:rFonts w:ascii="Arial" w:hAnsi="Arial"/>
      <w:sz w:val="28"/>
    </w:rPr>
  </w:style>
  <w:style w:type="paragraph" w:styleId="Ttulo8">
    <w:name w:val="heading 8"/>
    <w:basedOn w:val="Normal"/>
    <w:next w:val="Normal"/>
    <w:qFormat/>
    <w:pPr>
      <w:spacing w:before="240" w:after="60"/>
      <w:outlineLvl w:val="7"/>
    </w:pPr>
    <w:rPr>
      <w:i/>
      <w:iCs/>
      <w:sz w:val="24"/>
      <w:szCs w:val="24"/>
    </w:rPr>
  </w:style>
  <w:style w:type="paragraph" w:styleId="Ttulo9">
    <w:name w:val="heading 9"/>
    <w:basedOn w:val="Normal"/>
    <w:next w:val="Normal"/>
    <w:link w:val="Ttulo9Char"/>
    <w:qFormat/>
    <w:pPr>
      <w:keepNext/>
      <w:outlineLvl w:val="8"/>
    </w:pPr>
    <w:rPr>
      <w:b/>
      <w:bCs/>
      <w:sz w:val="28"/>
      <w:szCs w:val="28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Forte">
    <w:name w:val="Strong"/>
    <w:basedOn w:val="Fontepargpadro"/>
    <w:uiPriority w:val="22"/>
    <w:qFormat/>
    <w:rPr>
      <w:b/>
      <w:bCs/>
    </w:rPr>
  </w:style>
  <w:style w:type="character" w:styleId="HiperlinkVisitado">
    <w:name w:val="FollowedHyperlink"/>
    <w:basedOn w:val="Fontepargpadro"/>
    <w:qFormat/>
    <w:rPr>
      <w:color w:val="800080"/>
      <w:u w:val="single"/>
    </w:rPr>
  </w:style>
  <w:style w:type="character" w:styleId="Hyperlink">
    <w:name w:val="Hyperlink"/>
    <w:basedOn w:val="Fontepargpadro"/>
    <w:qFormat/>
    <w:rPr>
      <w:color w:val="0000FF"/>
      <w:u w:val="single"/>
    </w:rPr>
  </w:style>
  <w:style w:type="character" w:styleId="Nmerodepgina">
    <w:name w:val="page number"/>
    <w:basedOn w:val="Fontepargpadro"/>
    <w:qFormat/>
  </w:style>
  <w:style w:type="character" w:customStyle="1" w:styleId="TtuloChar">
    <w:name w:val="Título Char"/>
    <w:basedOn w:val="Fontepargpadro"/>
    <w:link w:val="Ttulo"/>
    <w:qFormat/>
    <w:rPr>
      <w:b/>
      <w:sz w:val="28"/>
    </w:rPr>
  </w:style>
  <w:style w:type="character" w:customStyle="1" w:styleId="CabealhoChar">
    <w:name w:val="Cabeçalho Char"/>
    <w:basedOn w:val="Fontepargpadro"/>
    <w:link w:val="Cabealho"/>
    <w:uiPriority w:val="99"/>
    <w:qFormat/>
  </w:style>
  <w:style w:type="character" w:customStyle="1" w:styleId="TextodebaloChar">
    <w:name w:val="Texto de balão Char"/>
    <w:basedOn w:val="Fontepargpadro"/>
    <w:link w:val="Textodebalo"/>
    <w:semiHidden/>
    <w:qFormat/>
    <w:rPr>
      <w:rFonts w:ascii="Segoe UI" w:hAnsi="Segoe UI" w:cs="Segoe UI"/>
      <w:sz w:val="18"/>
      <w:szCs w:val="18"/>
    </w:rPr>
  </w:style>
  <w:style w:type="character" w:customStyle="1" w:styleId="Ttulo9Char">
    <w:name w:val="Título 9 Char"/>
    <w:basedOn w:val="Fontepargpadro"/>
    <w:link w:val="Ttulo9"/>
    <w:qFormat/>
    <w:rPr>
      <w:b/>
      <w:bCs/>
      <w:sz w:val="28"/>
      <w:szCs w:val="28"/>
    </w:rPr>
  </w:style>
  <w:style w:type="character" w:customStyle="1" w:styleId="RodapChar">
    <w:name w:val="Rodapé Char"/>
    <w:basedOn w:val="Fontepargpadro"/>
    <w:link w:val="Rodap"/>
    <w:qFormat/>
  </w:style>
  <w:style w:type="character" w:customStyle="1" w:styleId="CorpodetextoChar">
    <w:name w:val="Corpo de texto Char"/>
    <w:basedOn w:val="Fontepargpadro"/>
    <w:link w:val="Corpodetexto"/>
    <w:uiPriority w:val="1"/>
    <w:qFormat/>
    <w:rPr>
      <w:b/>
    </w:rPr>
  </w:style>
  <w:style w:type="character" w:customStyle="1" w:styleId="SubttuloChar">
    <w:name w:val="Subtítulo Char"/>
    <w:basedOn w:val="Fontepargpadro"/>
    <w:link w:val="Subttulo"/>
    <w:qFormat/>
    <w:rPr>
      <w:b/>
      <w:bCs/>
      <w:sz w:val="32"/>
      <w:szCs w:val="24"/>
      <w:u w:val="single"/>
    </w:rPr>
  </w:style>
  <w:style w:type="character" w:styleId="TextodoEspaoReservado">
    <w:name w:val="Placeholder Text"/>
    <w:basedOn w:val="Fontepargpadro"/>
    <w:uiPriority w:val="99"/>
    <w:semiHidden/>
    <w:qFormat/>
    <w:rPr>
      <w:color w:val="808080"/>
    </w:rPr>
  </w:style>
  <w:style w:type="character" w:customStyle="1" w:styleId="Fontepargpadro2">
    <w:name w:val="Fonte parág. padrão2"/>
    <w:qFormat/>
  </w:style>
  <w:style w:type="paragraph" w:styleId="Ttulo">
    <w:name w:val="Title"/>
    <w:basedOn w:val="Normal"/>
    <w:next w:val="Corpodetexto"/>
    <w:link w:val="TtuloChar"/>
    <w:qFormat/>
    <w:pPr>
      <w:jc w:val="center"/>
    </w:pPr>
    <w:rPr>
      <w:b/>
      <w:sz w:val="28"/>
    </w:rPr>
  </w:style>
  <w:style w:type="paragraph" w:styleId="Corpodetexto">
    <w:name w:val="Body Text"/>
    <w:basedOn w:val="Normal"/>
    <w:link w:val="CorpodetextoChar"/>
    <w:uiPriority w:val="1"/>
    <w:qFormat/>
    <w:pPr>
      <w:jc w:val="both"/>
    </w:pPr>
    <w:rPr>
      <w:b/>
    </w:rPr>
  </w:style>
  <w:style w:type="paragraph" w:styleId="Lista">
    <w:name w:val="List"/>
    <w:basedOn w:val="Corpodetexto"/>
    <w:rPr>
      <w:rFonts w:cs="Arial"/>
    </w:rPr>
  </w:style>
  <w:style w:type="paragraph" w:styleId="Legenda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ndice">
    <w:name w:val="Índice"/>
    <w:basedOn w:val="Normal"/>
    <w:qFormat/>
    <w:pPr>
      <w:suppressLineNumbers/>
    </w:pPr>
    <w:rPr>
      <w:rFonts w:cs="Arial"/>
    </w:rPr>
  </w:style>
  <w:style w:type="paragraph" w:styleId="Textoembloco">
    <w:name w:val="Block Text"/>
    <w:basedOn w:val="Normal"/>
    <w:qFormat/>
    <w:pPr>
      <w:ind w:left="1620" w:right="-342"/>
    </w:pPr>
    <w:rPr>
      <w:szCs w:val="24"/>
    </w:rPr>
  </w:style>
  <w:style w:type="paragraph" w:styleId="Recuodecorpodetexto2">
    <w:name w:val="Body Text Indent 2"/>
    <w:basedOn w:val="Normal"/>
    <w:qFormat/>
    <w:pPr>
      <w:spacing w:line="360" w:lineRule="auto"/>
      <w:ind w:firstLine="708"/>
      <w:jc w:val="both"/>
    </w:pPr>
    <w:rPr>
      <w:bCs/>
      <w:sz w:val="24"/>
    </w:rPr>
  </w:style>
  <w:style w:type="paragraph" w:styleId="Corpodetexto2">
    <w:name w:val="Body Text 2"/>
    <w:basedOn w:val="Normal"/>
    <w:qFormat/>
    <w:pPr>
      <w:jc w:val="center"/>
    </w:pPr>
    <w:rPr>
      <w:b/>
    </w:rPr>
  </w:style>
  <w:style w:type="paragraph" w:customStyle="1" w:styleId="CabealhoeRodap">
    <w:name w:val="Cabeçalho e Rodapé"/>
    <w:basedOn w:val="Normal"/>
    <w:qFormat/>
  </w:style>
  <w:style w:type="paragraph" w:styleId="Cabealho">
    <w:name w:val="header"/>
    <w:basedOn w:val="Normal"/>
    <w:link w:val="CabealhoChar"/>
    <w:uiPriority w:val="99"/>
    <w:qFormat/>
    <w:pPr>
      <w:tabs>
        <w:tab w:val="center" w:pos="4419"/>
        <w:tab w:val="right" w:pos="8838"/>
      </w:tabs>
    </w:pPr>
  </w:style>
  <w:style w:type="paragraph" w:styleId="Rodap">
    <w:name w:val="footer"/>
    <w:basedOn w:val="Normal"/>
    <w:link w:val="RodapChar"/>
    <w:qFormat/>
    <w:pPr>
      <w:tabs>
        <w:tab w:val="center" w:pos="4419"/>
        <w:tab w:val="right" w:pos="8838"/>
      </w:tabs>
    </w:pPr>
  </w:style>
  <w:style w:type="paragraph" w:styleId="Recuodecorpodetexto3">
    <w:name w:val="Body Text Indent 3"/>
    <w:basedOn w:val="Normal"/>
    <w:qFormat/>
    <w:pPr>
      <w:ind w:left="2977" w:hanging="709"/>
      <w:jc w:val="both"/>
      <w:textAlignment w:val="baseline"/>
    </w:pPr>
    <w:rPr>
      <w:sz w:val="24"/>
    </w:rPr>
  </w:style>
  <w:style w:type="paragraph" w:styleId="Textodebalo">
    <w:name w:val="Balloon Text"/>
    <w:basedOn w:val="Normal"/>
    <w:link w:val="TextodebaloChar"/>
    <w:semiHidden/>
    <w:unhideWhenUsed/>
    <w:qFormat/>
    <w:rPr>
      <w:rFonts w:ascii="Segoe UI" w:hAnsi="Segoe UI" w:cs="Segoe UI"/>
      <w:sz w:val="18"/>
      <w:szCs w:val="18"/>
    </w:rPr>
  </w:style>
  <w:style w:type="paragraph" w:styleId="Subttulo">
    <w:name w:val="Subtitle"/>
    <w:basedOn w:val="Normal"/>
    <w:link w:val="SubttuloChar"/>
    <w:qFormat/>
    <w:rPr>
      <w:b/>
      <w:bCs/>
      <w:sz w:val="32"/>
      <w:szCs w:val="24"/>
      <w:u w:val="single"/>
    </w:rPr>
  </w:style>
  <w:style w:type="paragraph" w:styleId="Recuodecorpodetexto">
    <w:name w:val="Body Text Indent"/>
    <w:basedOn w:val="Normal"/>
    <w:qFormat/>
    <w:pPr>
      <w:ind w:firstLine="708"/>
      <w:jc w:val="both"/>
    </w:pPr>
  </w:style>
  <w:style w:type="paragraph" w:customStyle="1" w:styleId="Corpodetexto21">
    <w:name w:val="Corpo de texto 21"/>
    <w:basedOn w:val="Normal"/>
    <w:qFormat/>
    <w:pPr>
      <w:jc w:val="both"/>
      <w:textAlignment w:val="baseline"/>
    </w:pPr>
    <w:rPr>
      <w:color w:val="000000"/>
      <w:sz w:val="24"/>
    </w:rPr>
  </w:style>
  <w:style w:type="paragraph" w:customStyle="1" w:styleId="Recuodecorpodetexto21">
    <w:name w:val="Recuo de corpo de texto 21"/>
    <w:basedOn w:val="Normal"/>
    <w:qFormat/>
    <w:pPr>
      <w:ind w:left="1418" w:hanging="709"/>
      <w:jc w:val="both"/>
      <w:textAlignment w:val="baseline"/>
    </w:pPr>
    <w:rPr>
      <w:color w:val="000000"/>
      <w:sz w:val="24"/>
    </w:rPr>
  </w:style>
  <w:style w:type="paragraph" w:customStyle="1" w:styleId="Recuodecorpodetexto31">
    <w:name w:val="Recuo de corpo de texto 31"/>
    <w:basedOn w:val="Normal"/>
    <w:qFormat/>
    <w:pPr>
      <w:ind w:left="2268" w:hanging="850"/>
      <w:jc w:val="both"/>
      <w:textAlignment w:val="baseline"/>
    </w:pPr>
    <w:rPr>
      <w:color w:val="000000"/>
      <w:sz w:val="24"/>
    </w:rPr>
  </w:style>
  <w:style w:type="paragraph" w:customStyle="1" w:styleId="Corpodetexto31">
    <w:name w:val="Corpo de texto 31"/>
    <w:basedOn w:val="Normal"/>
    <w:qFormat/>
    <w:pPr>
      <w:jc w:val="both"/>
      <w:textAlignment w:val="baseline"/>
    </w:pPr>
    <w:rPr>
      <w:b/>
      <w:color w:val="000000"/>
      <w:sz w:val="24"/>
      <w:u w:val="single"/>
    </w:rPr>
  </w:style>
  <w:style w:type="paragraph" w:customStyle="1" w:styleId="MapadoDocumento1">
    <w:name w:val="Mapa do Documento1"/>
    <w:basedOn w:val="Normal"/>
    <w:qFormat/>
    <w:pPr>
      <w:shd w:val="clear" w:color="auto" w:fill="000080"/>
      <w:textAlignment w:val="baseline"/>
    </w:pPr>
    <w:rPr>
      <w:rFonts w:ascii="Tahoma" w:hAnsi="Tahoma"/>
    </w:rPr>
  </w:style>
  <w:style w:type="paragraph" w:styleId="PargrafodaLista">
    <w:name w:val="List Paragraph"/>
    <w:basedOn w:val="Normal"/>
    <w:uiPriority w:val="34"/>
    <w:qFormat/>
    <w:pPr>
      <w:ind w:left="720"/>
      <w:contextualSpacing/>
    </w:pPr>
  </w:style>
  <w:style w:type="paragraph" w:customStyle="1" w:styleId="cabealhoencabezado">
    <w:name w:val="cabealhoencabezado"/>
    <w:basedOn w:val="Normal"/>
    <w:qFormat/>
    <w:pPr>
      <w:tabs>
        <w:tab w:val="center" w:pos="4419"/>
        <w:tab w:val="right" w:pos="8838"/>
      </w:tabs>
    </w:pPr>
    <w:rPr>
      <w:rFonts w:ascii="Arial" w:hAnsi="Arial" w:cs="Arial"/>
      <w:sz w:val="24"/>
      <w:szCs w:val="24"/>
    </w:rPr>
  </w:style>
  <w:style w:type="paragraph" w:customStyle="1" w:styleId="TableParagraph">
    <w:name w:val="Table Paragraph"/>
    <w:basedOn w:val="Normal"/>
    <w:uiPriority w:val="1"/>
    <w:qFormat/>
    <w:pPr>
      <w:widowControl w:val="0"/>
      <w:spacing w:before="13"/>
    </w:pPr>
    <w:rPr>
      <w:rFonts w:ascii="Arial MT" w:eastAsia="Arial MT" w:hAnsi="Arial MT" w:cs="Arial MT"/>
      <w:sz w:val="22"/>
      <w:szCs w:val="22"/>
      <w:lang w:val="pt-PT" w:eastAsia="en-US"/>
    </w:rPr>
  </w:style>
  <w:style w:type="paragraph" w:customStyle="1" w:styleId="Default">
    <w:name w:val="Default"/>
    <w:qFormat/>
    <w:rPr>
      <w:rFonts w:eastAsia="Times New Roman"/>
      <w:color w:val="000000"/>
      <w:sz w:val="24"/>
      <w:szCs w:val="24"/>
      <w:lang w:eastAsia="pt-BR" w:bidi="ar-SA"/>
    </w:rPr>
  </w:style>
  <w:style w:type="paragraph" w:customStyle="1" w:styleId="Standard">
    <w:name w:val="Standard"/>
    <w:qFormat/>
    <w:pPr>
      <w:spacing w:line="1" w:lineRule="atLeast"/>
      <w:ind w:left="-1" w:hanging="1"/>
      <w:textAlignment w:val="top"/>
      <w:outlineLvl w:val="0"/>
    </w:pPr>
    <w:rPr>
      <w:rFonts w:eastAsia="Times New Roman"/>
      <w:sz w:val="24"/>
      <w:szCs w:val="24"/>
      <w:lang w:eastAsia="pt-BR" w:bidi="ar-SA"/>
    </w:rPr>
  </w:style>
  <w:style w:type="paragraph" w:customStyle="1" w:styleId="Contedodoquadro">
    <w:name w:val="Conteúdo do quadro"/>
    <w:basedOn w:val="Normal"/>
    <w:qFormat/>
  </w:style>
  <w:style w:type="table" w:styleId="Tabelacomgrade">
    <w:name w:val="Table Grid"/>
    <w:basedOn w:val="Tabelanormal"/>
    <w:uiPriority w:val="39"/>
    <w:qFormat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Normal">
    <w:name w:val="Table Normal"/>
    <w:uiPriority w:val="2"/>
    <w:semiHidden/>
    <w:unhideWhenUsed/>
    <w:qFormat/>
    <w:rPr>
      <w:sz w:val="22"/>
      <w:szCs w:val="22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elacomgrade1">
    <w:name w:val="Tabela com grade1"/>
    <w:basedOn w:val="Tabelanormal"/>
    <w:uiPriority w:val="39"/>
    <w:qFormat/>
    <w:rPr>
      <w:sz w:val="24"/>
      <w:szCs w:val="24"/>
      <w:lang w:val="pt-P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8784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487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2.bin"/><Relationship Id="rId2" Type="http://schemas.openxmlformats.org/officeDocument/2006/relationships/oleObject" Target="embeddings/oleObject1.bin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789495FE-5F90-4F01-B788-AF30A31629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3</Pages>
  <Words>526</Words>
  <Characters>2841</Characters>
  <Application>Microsoft Office Word</Application>
  <DocSecurity>0</DocSecurity>
  <Lines>23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AVISO DE LICITAÇÃO</vt:lpstr>
    </vt:vector>
  </TitlesOfParts>
  <Company>PMB</Company>
  <LinksUpToDate>false</LinksUpToDate>
  <CharactersWithSpaces>3361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AVISO DE LICITAÇÃO</dc:title>
  <dc:subject>AQUISIÇÃO DE CESTAS BÁSICAS A SEREM DISTRIBUÍDAS ÀS FAMÍLIAS EM SITUAÇÃO DE VULNERABILIDADE E/OU RISCO SOCIAL, ATENDIDAS PELA SECRETARIA DE ASSISTÊNCIA SOCIAL E ASSUNTOS DA FAMÍLIA</dc:subject>
  <dc:creator>Clemente Martins Delgado</dc:creator>
  <dc:description/>
  <cp:lastModifiedBy>Usuario</cp:lastModifiedBy>
  <cp:revision>8</cp:revision>
  <cp:lastPrinted>2025-04-25T12:42:00Z</cp:lastPrinted>
  <dcterms:created xsi:type="dcterms:W3CDTF">2025-04-25T12:39:00Z</dcterms:created>
  <dcterms:modified xsi:type="dcterms:W3CDTF">2025-04-25T12:55:00Z</dcterms:modified>
  <dc:language>pt-BR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BEB7E630ED0B45949A2605928699C58C_13</vt:lpwstr>
  </property>
  <property fmtid="{D5CDD505-2E9C-101B-9397-08002B2CF9AE}" pid="3" name="KSOProductBuildVer">
    <vt:lpwstr>1046-12.2.0.19805</vt:lpwstr>
  </property>
</Properties>
</file>