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720"/>
          <w:tab w:val="left" w:pos="567" w:leader="none"/>
        </w:tabs>
        <w:spacing w:lineRule="auto" w:line="276"/>
        <w:ind w:hanging="0" w:left="281" w:right="-426"/>
        <w:jc w:val="center"/>
        <w:rPr>
          <w:rFonts w:eastAsia="Merriweather"/>
          <w:b/>
          <w:sz w:val="22"/>
          <w:szCs w:val="22"/>
        </w:rPr>
      </w:pPr>
      <w:r>
        <mc:AlternateContent>
          <mc:Choice Requires="wps">
            <w:drawing>
              <wp:anchor behindDoc="0" distT="0" distB="0" distL="635" distR="0" simplePos="0" locked="0" layoutInCell="1" allowOverlap="1" relativeHeight="1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Forma1" hidden="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1" path="m0,0l-2147483645,0l-2147483645,-2147483646l0,-2147483646xe" stroked="f" o:allowincell="f" style="position:absolute;margin-left:0.05pt;margin-top:0.05pt;width:49.95pt;height:49.95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eastAsia="Merriweather"/>
          <w:b/>
          <w:sz w:val="22"/>
          <w:szCs w:val="22"/>
        </w:rPr>
        <w:t>DOCUMENTO DE FORMALIZAÇÃO DA DEMANDA (DFD)</w:t>
      </w:r>
    </w:p>
    <w:p>
      <w:pPr>
        <w:pStyle w:val="Normal"/>
        <w:widowControl w:val="false"/>
        <w:tabs>
          <w:tab w:val="clear" w:pos="720"/>
          <w:tab w:val="left" w:pos="567" w:leader="none"/>
        </w:tabs>
        <w:spacing w:lineRule="auto" w:line="276"/>
        <w:ind w:hanging="0" w:left="281" w:right="-426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widowControl w:val="false"/>
        <w:tabs>
          <w:tab w:val="clear" w:pos="720"/>
          <w:tab w:val="left" w:pos="567" w:leader="none"/>
        </w:tabs>
        <w:spacing w:lineRule="auto" w:line="276"/>
        <w:ind w:hanging="0" w:left="281" w:right="-426"/>
        <w:jc w:val="center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20"/>
          <w:tab w:val="left" w:pos="567" w:leader="none"/>
        </w:tabs>
        <w:spacing w:lineRule="auto" w:line="276"/>
        <w:ind w:hanging="360" w:left="360" w:right="-426"/>
        <w:rPr>
          <w:rFonts w:eastAsia="Merriweather"/>
          <w:b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  <w:t xml:space="preserve">Setor Requisitante: </w:t>
      </w:r>
      <w:r>
        <w:rPr>
          <w:rFonts w:eastAsia="Merriweather"/>
          <w:color w:themeColor="text1" w:val="000000"/>
          <w:sz w:val="22"/>
          <w:szCs w:val="22"/>
        </w:rPr>
        <w:t>Secretaria Municipal de Meio Ambiente e Recursos Hídricos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319" w:leader="none"/>
        </w:tabs>
        <w:spacing w:lineRule="auto" w:line="276"/>
        <w:ind w:hanging="720" w:left="756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  <w:t>Responsável pela demanda:</w:t>
      </w:r>
      <w:r>
        <w:rPr>
          <w:rFonts w:eastAsia="Merriweather"/>
          <w:b w:val="false"/>
          <w:bCs w:val="false"/>
          <w:color w:themeColor="text1" w:val="000000"/>
          <w:sz w:val="22"/>
          <w:szCs w:val="22"/>
        </w:rPr>
        <w:t xml:space="preserve"> José de Carvalho Henriques Neto</w:t>
      </w:r>
    </w:p>
    <w:p>
      <w:pPr>
        <w:pStyle w:val="ListParagraph"/>
        <w:tabs>
          <w:tab w:val="clear" w:pos="720"/>
          <w:tab w:val="left" w:pos="319" w:leader="none"/>
          <w:tab w:val="left" w:pos="426" w:leader="none"/>
        </w:tabs>
        <w:spacing w:lineRule="auto" w:line="240"/>
        <w:ind w:hanging="0" w:left="709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0" w:leader="none"/>
        </w:tabs>
        <w:spacing w:lineRule="auto" w:line="240"/>
        <w:ind w:hanging="720" w:left="756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  <w:t>Objeto da demanda:</w:t>
      </w:r>
      <w:r>
        <w:rPr>
          <w:rFonts w:eastAsia="Merriweather"/>
          <w:color w:themeColor="text1" w:val="000000"/>
          <w:sz w:val="22"/>
          <w:szCs w:val="22"/>
        </w:rPr>
        <w:t xml:space="preserve"> </w:t>
      </w:r>
      <w:r>
        <w:rPr>
          <w:rFonts w:eastAsia="Merriweather"/>
          <w:color w:themeColor="text1" w:val="000000"/>
          <w:sz w:val="22"/>
          <w:szCs w:val="22"/>
        </w:rPr>
        <w:t xml:space="preserve">CONTRATAÇÃO DE PESSOA JURÍDICA PARA A </w:t>
      </w:r>
      <w:r>
        <w:rPr>
          <w:rFonts w:eastAsia="Merriweather"/>
          <w:color w:themeColor="text1" w:val="000000"/>
          <w:sz w:val="22"/>
          <w:szCs w:val="22"/>
        </w:rPr>
        <w:t>AQUISIÇÃO DE TUBULAÇÃO PARA DRENAGEM DE LÍQUIDO PERCOLADO DO ATERRO SANITÁRIO DE BANDEIRANTES-PR</w:t>
      </w:r>
    </w:p>
    <w:p>
      <w:pPr>
        <w:pStyle w:val="ListParagraph"/>
        <w:ind w:hanging="2" w:left="0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                                                                                                                            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0" w:leader="none"/>
        </w:tabs>
        <w:spacing w:lineRule="auto" w:line="240"/>
        <w:ind w:hanging="720" w:left="756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Características do objeto: </w:t>
      </w:r>
    </w:p>
    <w:p>
      <w:pPr>
        <w:pStyle w:val="Normal"/>
        <w:tabs>
          <w:tab w:val="clear" w:pos="720"/>
          <w:tab w:val="left" w:pos="567" w:leader="none"/>
        </w:tabs>
        <w:spacing w:lineRule="auto" w:line="240"/>
        <w:ind w:hanging="0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( ) Serviço não continuado; </w:t>
      </w:r>
    </w:p>
    <w:p>
      <w:pPr>
        <w:pStyle w:val="Normal"/>
        <w:tabs>
          <w:tab w:val="clear" w:pos="720"/>
          <w:tab w:val="left" w:pos="567" w:leader="none"/>
        </w:tabs>
        <w:ind w:hanging="0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( ) Serviço continuado SEM dedicação exclusiva de mão de obra; </w:t>
      </w:r>
    </w:p>
    <w:p>
      <w:pPr>
        <w:pStyle w:val="Normal"/>
        <w:tabs>
          <w:tab w:val="clear" w:pos="720"/>
          <w:tab w:val="left" w:pos="567" w:leader="none"/>
        </w:tabs>
        <w:ind w:hanging="0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( ) Serviço continuado COM dedicação exclusiva de mão de obra;</w:t>
      </w:r>
    </w:p>
    <w:p>
      <w:pPr>
        <w:pStyle w:val="Normal"/>
        <w:tabs>
          <w:tab w:val="clear" w:pos="720"/>
          <w:tab w:val="left" w:pos="567" w:leader="none"/>
        </w:tabs>
        <w:ind w:hanging="0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(x) Material de consumo; </w:t>
      </w:r>
    </w:p>
    <w:p>
      <w:pPr>
        <w:pStyle w:val="Normal"/>
        <w:tabs>
          <w:tab w:val="clear" w:pos="720"/>
          <w:tab w:val="left" w:pos="567" w:leader="none"/>
        </w:tabs>
        <w:ind w:hanging="0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( ) Material permanente / equipamento.</w:t>
      </w:r>
    </w:p>
    <w:p>
      <w:pPr>
        <w:pStyle w:val="ListParagraph"/>
        <w:tabs>
          <w:tab w:val="clear" w:pos="720"/>
          <w:tab w:val="left" w:pos="319" w:leader="none"/>
        </w:tabs>
        <w:spacing w:lineRule="auto" w:line="240"/>
        <w:ind w:hanging="0" w:left="36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19" w:leader="none"/>
        </w:tabs>
        <w:spacing w:lineRule="auto" w:line="240"/>
        <w:ind w:hanging="360" w:left="360" w:right="-426"/>
        <w:jc w:val="both"/>
        <w:rPr>
          <w:rFonts w:eastAsia="Merriweather"/>
          <w:b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 </w:t>
      </w:r>
      <w:r>
        <w:rPr>
          <w:rFonts w:eastAsia="Merriweather"/>
          <w:b/>
          <w:color w:themeColor="text1" w:val="000000"/>
          <w:sz w:val="22"/>
          <w:szCs w:val="22"/>
        </w:rPr>
        <w:t>Forma de contratação sugerida:</w:t>
      </w:r>
    </w:p>
    <w:p>
      <w:pPr>
        <w:pStyle w:val="ListParagraph"/>
        <w:tabs>
          <w:tab w:val="clear" w:pos="720"/>
          <w:tab w:val="left" w:pos="360" w:leader="none"/>
        </w:tabs>
        <w:spacing w:lineRule="auto" w:line="240"/>
        <w:ind w:hanging="360" w:left="36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( ) Pregão  </w:t>
      </w:r>
    </w:p>
    <w:p>
      <w:pPr>
        <w:pStyle w:val="ListParagraph"/>
        <w:tabs>
          <w:tab w:val="clear" w:pos="720"/>
          <w:tab w:val="left" w:pos="360" w:leader="none"/>
        </w:tabs>
        <w:spacing w:lineRule="auto" w:line="240"/>
        <w:ind w:hanging="360" w:left="36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(x) Dispensa - Lei 14.133/21 art. 75, II, </w:t>
      </w:r>
      <w:r>
        <w:rPr>
          <w:rFonts w:cs="Arial" w:ascii="Arial" w:hAnsi="Arial"/>
          <w:color w:val="000000"/>
          <w:sz w:val="20"/>
          <w:szCs w:val="20"/>
        </w:rPr>
        <w:t>§ 3º </w:t>
      </w:r>
    </w:p>
    <w:p>
      <w:pPr>
        <w:pStyle w:val="ListParagraph"/>
        <w:tabs>
          <w:tab w:val="clear" w:pos="720"/>
          <w:tab w:val="left" w:pos="360" w:leader="none"/>
        </w:tabs>
        <w:spacing w:lineRule="auto" w:line="240"/>
        <w:ind w:hanging="360" w:left="36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( ) Inexigibilidade</w:t>
      </w:r>
    </w:p>
    <w:p>
      <w:pPr>
        <w:pStyle w:val="ListParagraph"/>
        <w:tabs>
          <w:tab w:val="clear" w:pos="720"/>
          <w:tab w:val="left" w:pos="360" w:leader="none"/>
        </w:tabs>
        <w:spacing w:lineRule="auto" w:line="240"/>
        <w:ind w:hanging="360" w:left="36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( ) Concorrência</w:t>
      </w:r>
    </w:p>
    <w:p>
      <w:pPr>
        <w:pStyle w:val="ListParagraph"/>
        <w:tabs>
          <w:tab w:val="clear" w:pos="720"/>
          <w:tab w:val="left" w:pos="360" w:leader="none"/>
        </w:tabs>
        <w:spacing w:lineRule="auto" w:line="240"/>
        <w:ind w:hanging="360" w:left="36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( ) Concurso</w:t>
      </w:r>
    </w:p>
    <w:p>
      <w:pPr>
        <w:pStyle w:val="ListParagraph"/>
        <w:tabs>
          <w:tab w:val="clear" w:pos="720"/>
          <w:tab w:val="left" w:pos="360" w:leader="none"/>
        </w:tabs>
        <w:spacing w:lineRule="auto" w:line="240"/>
        <w:ind w:hanging="360" w:left="36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( ) Leilão</w:t>
      </w:r>
    </w:p>
    <w:p>
      <w:pPr>
        <w:pStyle w:val="ListParagraph"/>
        <w:tabs>
          <w:tab w:val="clear" w:pos="720"/>
          <w:tab w:val="left" w:pos="319" w:leader="none"/>
        </w:tabs>
        <w:spacing w:lineRule="auto" w:line="240"/>
        <w:ind w:hanging="0" w:left="36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  <w:t>Item previsto no plano anual de contratação – PAC</w:t>
      </w:r>
      <w:r>
        <w:rPr>
          <w:rFonts w:eastAsia="Merriweather"/>
          <w:color w:themeColor="text1" w:val="000000"/>
          <w:sz w:val="22"/>
          <w:szCs w:val="22"/>
        </w:rPr>
        <w:t>:</w:t>
      </w:r>
      <w:r>
        <w:rPr>
          <w:color w:themeColor="text1" w:val="000000"/>
          <w:sz w:val="22"/>
          <w:szCs w:val="22"/>
        </w:rPr>
        <w:t xml:space="preserve"> </w:t>
      </w:r>
    </w:p>
    <w:p>
      <w:pPr>
        <w:pStyle w:val="Normal"/>
        <w:ind w:hanging="0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(x) Sim – Especificar Ano: 2025 – SMH0123 – 11 – SECRETARIA DO MEIO AMBIENTE E RECURSOS HÍDRICOS 11.1.1 – Divisão de Meio Ambiente – MATERIAL DE CONSUMO – Tubos para drenagem </w:t>
      </w:r>
    </w:p>
    <w:p>
      <w:pPr>
        <w:pStyle w:val="Normal"/>
        <w:ind w:hanging="2" w:left="0" w:right="-426"/>
        <w:jc w:val="both"/>
        <w:rPr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( ) Não previsto no PAC - Justificar o motivo:</w:t>
      </w:r>
      <w:r>
        <w:rPr>
          <w:color w:themeColor="text1" w:val="000000"/>
          <w:sz w:val="22"/>
          <w:szCs w:val="22"/>
        </w:rPr>
        <w:t xml:space="preserve">  </w:t>
      </w:r>
    </w:p>
    <w:p>
      <w:pPr>
        <w:pStyle w:val="Normal"/>
        <w:ind w:hanging="2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4" w:leader="none"/>
        </w:tabs>
        <w:ind w:hanging="0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  <w:t>Justificativa da necessidade da contratação da solução, considerando o Planejamento Estratégico, se for o caso:</w:t>
      </w:r>
    </w:p>
    <w:p>
      <w:pPr>
        <w:pStyle w:val="Normal"/>
        <w:tabs>
          <w:tab w:val="clear" w:pos="720"/>
          <w:tab w:val="left" w:pos="284" w:leader="none"/>
        </w:tabs>
        <w:ind w:hanging="0" w:left="-1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                  </w:t>
      </w:r>
    </w:p>
    <w:p>
      <w:pPr>
        <w:pStyle w:val="Normal"/>
        <w:tabs>
          <w:tab w:val="clear" w:pos="720"/>
          <w:tab w:val="left" w:pos="284" w:leader="none"/>
        </w:tabs>
        <w:ind w:hanging="0" w:left="0"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presente justificativa tem como objetivo fundamentar a aquisição de canos para a drenagem de líquido percolado do aterro sanitário de Bandeirantes-PR. O líquido percolado, resultante do processo de decomposição de resíduos no aterro, necessita de um sistema eficiente de drenagem para evitar a contaminação do solo e dos corpos d'águas próximas, bem como para atender às exigências ambientais estabelecidas pelos órgãos competentes. </w:t>
      </w:r>
    </w:p>
    <w:p>
      <w:pPr>
        <w:pStyle w:val="Normal"/>
        <w:tabs>
          <w:tab w:val="clear" w:pos="720"/>
          <w:tab w:val="left" w:pos="284" w:leader="none"/>
        </w:tabs>
        <w:ind w:hanging="0" w:left="0"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aquisição dos canos visa à implementação de um sistema de drenagem adequado, que proporcionará a coleta e o direcionamento adequado do líquido percolado, contribuindo para a preservação ambiental e o cumprimento das normas legais e regulamentares. Além disso, a melhoria na infraestrutura do aterro é fundamental para garantir a segurança e a sustentabilidade das operações, minimizando riscos ambientais para a comunidade local. </w:t>
      </w:r>
    </w:p>
    <w:p>
      <w:pPr>
        <w:pStyle w:val="Normal"/>
        <w:tabs>
          <w:tab w:val="clear" w:pos="720"/>
          <w:tab w:val="left" w:pos="284" w:leader="none"/>
        </w:tabs>
        <w:ind w:hanging="0" w:left="0"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necessidade da aquisição é urgente e imprescindível para a manutenção do bom funcionamento do aterro sanitário, atendendo aos requisitos de sustentabilidade e ao cumprimento das obrigações ambientais. </w:t>
      </w:r>
    </w:p>
    <w:p>
      <w:pPr>
        <w:pStyle w:val="Normal"/>
        <w:tabs>
          <w:tab w:val="clear" w:pos="720"/>
          <w:tab w:val="left" w:pos="284" w:leader="none"/>
        </w:tabs>
        <w:ind w:hanging="0" w:left="0" w:right="-426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                                                                                         </w:t>
      </w:r>
    </w:p>
    <w:p>
      <w:pPr>
        <w:pStyle w:val="Normal"/>
        <w:tabs>
          <w:tab w:val="clear" w:pos="720"/>
          <w:tab w:val="left" w:pos="284" w:leader="none"/>
        </w:tabs>
        <w:ind w:hanging="0" w:left="-1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       </w:t>
      </w:r>
    </w:p>
    <w:p>
      <w:pPr>
        <w:pStyle w:val="Normal"/>
        <w:tabs>
          <w:tab w:val="clear" w:pos="720"/>
          <w:tab w:val="left" w:pos="284" w:leader="none"/>
        </w:tabs>
        <w:ind w:hanging="0" w:left="-1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Normal"/>
        <w:tabs>
          <w:tab w:val="clear" w:pos="720"/>
          <w:tab w:val="left" w:pos="284" w:leader="none"/>
        </w:tabs>
        <w:ind w:hanging="0" w:left="-1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Normal"/>
        <w:tabs>
          <w:tab w:val="clear" w:pos="720"/>
          <w:tab w:val="left" w:pos="284" w:leader="none"/>
        </w:tabs>
        <w:ind w:hanging="0" w:left="-1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Normal"/>
        <w:tabs>
          <w:tab w:val="clear" w:pos="720"/>
          <w:tab w:val="left" w:pos="284" w:leader="none"/>
        </w:tabs>
        <w:ind w:hanging="0" w:left="-1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ListParagraph"/>
        <w:numPr>
          <w:ilvl w:val="1"/>
          <w:numId w:val="1"/>
        </w:numPr>
        <w:ind w:hanging="720" w:left="756" w:right="-426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Descrição /identificação da necessidade:</w:t>
      </w:r>
    </w:p>
    <w:p>
      <w:pPr>
        <w:pStyle w:val="Normal"/>
        <w:tabs>
          <w:tab w:val="clear" w:pos="720"/>
          <w:tab w:val="left" w:pos="567" w:leader="none"/>
        </w:tabs>
        <w:spacing w:lineRule="auto" w:line="240"/>
        <w:ind w:hanging="2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(x) Nova contratação</w:t>
      </w:r>
    </w:p>
    <w:p>
      <w:pPr>
        <w:pStyle w:val="Normal"/>
        <w:tabs>
          <w:tab w:val="clear" w:pos="720"/>
          <w:tab w:val="left" w:pos="567" w:leader="none"/>
        </w:tabs>
        <w:spacing w:lineRule="auto" w:line="240"/>
        <w:ind w:hanging="2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( ) Nova contratação em vista de extinção contratual</w:t>
      </w:r>
    </w:p>
    <w:p>
      <w:pPr>
        <w:pStyle w:val="Normal"/>
        <w:tabs>
          <w:tab w:val="clear" w:pos="720"/>
          <w:tab w:val="left" w:pos="567" w:leader="none"/>
        </w:tabs>
        <w:spacing w:lineRule="auto" w:line="240"/>
        <w:ind w:hanging="2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( ) Nova contratação de acordo com a necessidade da contratante</w:t>
      </w:r>
    </w:p>
    <w:p>
      <w:pPr>
        <w:pStyle w:val="Normal"/>
        <w:tabs>
          <w:tab w:val="clear" w:pos="720"/>
          <w:tab w:val="left" w:pos="567" w:leader="none"/>
        </w:tabs>
        <w:spacing w:lineRule="auto" w:line="240"/>
        <w:ind w:hanging="2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( ) Nova contratação em vista da negativa do contratado na renovação</w:t>
      </w:r>
    </w:p>
    <w:p>
      <w:pPr>
        <w:pStyle w:val="Normal"/>
        <w:tabs>
          <w:tab w:val="clear" w:pos="720"/>
          <w:tab w:val="left" w:pos="567" w:leader="none"/>
        </w:tabs>
        <w:spacing w:lineRule="auto" w:line="240"/>
        <w:ind w:hanging="2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*Observações: </w:t>
      </w:r>
    </w:p>
    <w:p>
      <w:pPr>
        <w:pStyle w:val="Normal"/>
        <w:tabs>
          <w:tab w:val="clear" w:pos="720"/>
          <w:tab w:val="left" w:pos="567" w:leader="none"/>
        </w:tabs>
        <w:spacing w:lineRule="auto" w:line="240"/>
        <w:ind w:hanging="2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4.2. CONTRATO (SE EXTINTO): Não se aplica                                                                                                  </w:t>
      </w:r>
    </w:p>
    <w:p>
      <w:pPr>
        <w:pStyle w:val="Normal"/>
        <w:tabs>
          <w:tab w:val="clear" w:pos="720"/>
          <w:tab w:val="left" w:pos="567" w:leader="none"/>
        </w:tabs>
        <w:spacing w:lineRule="auto" w:line="240"/>
        <w:ind w:hanging="2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4.3. VIGÊNCIA: Não se aplica</w:t>
      </w:r>
    </w:p>
    <w:p>
      <w:pPr>
        <w:pStyle w:val="Normal"/>
        <w:tabs>
          <w:tab w:val="clear" w:pos="720"/>
          <w:tab w:val="left" w:pos="567" w:leader="none"/>
        </w:tabs>
        <w:spacing w:lineRule="auto" w:line="240"/>
        <w:ind w:hanging="2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4.4. CONTRATADO: _________________</w:t>
      </w:r>
    </w:p>
    <w:p>
      <w:pPr>
        <w:pStyle w:val="Normal"/>
        <w:tabs>
          <w:tab w:val="clear" w:pos="720"/>
          <w:tab w:val="left" w:pos="567" w:leader="none"/>
        </w:tabs>
        <w:spacing w:lineRule="auto" w:line="240"/>
        <w:ind w:hanging="2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eastAsia="Merriweather"/>
          <w:b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  <w:t>Quantidade de material/serviço da solução a ser contratada considerada a expectativa de consumo:</w:t>
      </w:r>
    </w:p>
    <w:p>
      <w:pPr>
        <w:pStyle w:val="ListParagraph"/>
        <w:ind w:hanging="0" w:left="360" w:right="-426"/>
        <w:jc w:val="both"/>
        <w:rPr>
          <w:rFonts w:eastAsia="Merriweather"/>
          <w:b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</w:r>
    </w:p>
    <w:tbl>
      <w:tblPr>
        <w:tblStyle w:val="Tabelacomgrade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4"/>
        <w:gridCol w:w="3931"/>
        <w:gridCol w:w="889"/>
        <w:gridCol w:w="708"/>
        <w:gridCol w:w="709"/>
        <w:gridCol w:w="1418"/>
        <w:gridCol w:w="1274"/>
      </w:tblGrid>
      <w:tr>
        <w:trPr>
          <w:trHeight w:val="649" w:hRule="atLeast"/>
        </w:trPr>
        <w:tc>
          <w:tcPr>
            <w:tcW w:w="7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 w:left="0" w:right="-391"/>
              <w:jc w:val="left"/>
              <w:rPr>
                <w:rFonts w:ascii="Arial" w:hAnsi="Arial" w:eastAsia="Merriweather" w:cs="Arial"/>
                <w:b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kern w:val="0"/>
                <w:sz w:val="18"/>
                <w:szCs w:val="18"/>
                <w:lang w:val="pt-BR" w:eastAsia="pt-BR" w:bidi="ar-SA"/>
              </w:rPr>
              <w:t>ITEM</w:t>
            </w:r>
          </w:p>
        </w:tc>
        <w:tc>
          <w:tcPr>
            <w:tcW w:w="3931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-1" w:right="-90"/>
              <w:jc w:val="center"/>
              <w:rPr>
                <w:rFonts w:ascii="Arial" w:hAnsi="Arial" w:eastAsia="Merriweather" w:cs="Arial"/>
                <w:b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kern w:val="0"/>
                <w:sz w:val="18"/>
                <w:szCs w:val="18"/>
                <w:lang w:val="pt-BR" w:eastAsia="pt-BR" w:bidi="ar-SA"/>
              </w:rPr>
              <w:t>ESPECIFICAÇÃO</w:t>
            </w:r>
          </w:p>
        </w:tc>
        <w:tc>
          <w:tcPr>
            <w:tcW w:w="88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 w:left="-207" w:right="-112"/>
              <w:jc w:val="center"/>
              <w:rPr>
                <w:rFonts w:ascii="Arial" w:hAnsi="Arial" w:eastAsia="Merriweather" w:cs="Arial"/>
                <w:b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kern w:val="0"/>
                <w:sz w:val="18"/>
                <w:szCs w:val="18"/>
                <w:lang w:val="pt-BR" w:eastAsia="pt-BR" w:bidi="ar-SA"/>
              </w:rPr>
              <w:t xml:space="preserve">  </w:t>
            </w:r>
            <w:r>
              <w:rPr>
                <w:rFonts w:eastAsia="Merriweather" w:cs="Arial" w:ascii="Arial" w:hAnsi="Arial"/>
                <w:b/>
                <w:kern w:val="0"/>
                <w:sz w:val="18"/>
                <w:szCs w:val="18"/>
                <w:lang w:val="pt-BR" w:eastAsia="pt-BR" w:bidi="ar-SA"/>
              </w:rPr>
              <w:t>CATMAT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253" w:leader="none"/>
              </w:tabs>
              <w:spacing w:before="0" w:after="0"/>
              <w:ind w:hanging="0" w:left="-129" w:right="-250"/>
              <w:jc w:val="left"/>
              <w:rPr>
                <w:rFonts w:ascii="Arial" w:hAnsi="Arial" w:eastAsia="Merriweather" w:cs="Arial"/>
                <w:b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kern w:val="0"/>
                <w:sz w:val="18"/>
                <w:szCs w:val="18"/>
                <w:lang w:val="pt-BR" w:eastAsia="pt-BR" w:bidi="ar-SA"/>
              </w:rPr>
              <w:t xml:space="preserve">    </w:t>
            </w:r>
            <w:r>
              <w:rPr>
                <w:rFonts w:eastAsia="Merriweather" w:cs="Arial" w:ascii="Arial" w:hAnsi="Arial"/>
                <w:b/>
                <w:kern w:val="0"/>
                <w:sz w:val="18"/>
                <w:szCs w:val="18"/>
                <w:lang w:val="pt-BR" w:eastAsia="pt-BR" w:bidi="ar-SA"/>
              </w:rPr>
              <w:t>UND</w:t>
            </w:r>
          </w:p>
        </w:tc>
        <w:tc>
          <w:tcPr>
            <w:tcW w:w="7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 w:left="-108" w:right="-386"/>
              <w:jc w:val="left"/>
              <w:rPr>
                <w:rFonts w:ascii="Arial" w:hAnsi="Arial" w:eastAsia="Merriweather" w:cs="Arial"/>
                <w:b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kern w:val="0"/>
                <w:sz w:val="18"/>
                <w:szCs w:val="18"/>
                <w:lang w:val="pt-BR" w:eastAsia="pt-BR" w:bidi="ar-SA"/>
              </w:rPr>
              <w:t xml:space="preserve">   </w:t>
            </w:r>
            <w:r>
              <w:rPr>
                <w:rFonts w:eastAsia="Merriweather" w:cs="Arial" w:ascii="Arial" w:hAnsi="Arial"/>
                <w:b/>
                <w:kern w:val="0"/>
                <w:sz w:val="18"/>
                <w:szCs w:val="18"/>
                <w:lang w:val="pt-BR" w:eastAsia="pt-BR" w:bidi="ar-SA"/>
              </w:rPr>
              <w:t>QTD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 w:left="-109" w:right="-112"/>
              <w:jc w:val="center"/>
              <w:rPr>
                <w:rFonts w:ascii="Arial" w:hAnsi="Arial" w:eastAsia="Merriweather" w:cs="Arial"/>
                <w:b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kern w:val="0"/>
                <w:sz w:val="18"/>
                <w:szCs w:val="18"/>
                <w:lang w:val="pt-BR" w:eastAsia="pt-BR" w:bidi="ar-SA"/>
              </w:rPr>
              <w:t>VALOR</w:t>
            </w:r>
          </w:p>
          <w:p>
            <w:pPr>
              <w:pStyle w:val="Normal"/>
              <w:widowControl/>
              <w:spacing w:before="0" w:after="0"/>
              <w:ind w:hanging="0" w:left="-109" w:right="-112"/>
              <w:jc w:val="center"/>
              <w:rPr>
                <w:rFonts w:ascii="Arial" w:hAnsi="Arial" w:eastAsia="Merriweather" w:cs="Arial"/>
                <w:b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kern w:val="0"/>
                <w:sz w:val="18"/>
                <w:szCs w:val="18"/>
                <w:lang w:val="pt-BR" w:eastAsia="pt-BR" w:bidi="ar-SA"/>
              </w:rPr>
              <w:t>UNITÁRIO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 w:left="-106" w:right="-107"/>
              <w:jc w:val="center"/>
              <w:rPr>
                <w:rFonts w:ascii="Arial" w:hAnsi="Arial" w:eastAsia="Merriweather" w:cs="Arial"/>
                <w:b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kern w:val="0"/>
                <w:sz w:val="18"/>
                <w:szCs w:val="18"/>
                <w:lang w:val="pt-BR" w:eastAsia="pt-BR" w:bidi="ar-SA"/>
              </w:rPr>
              <w:t>VALOR TOTAL</w:t>
            </w:r>
          </w:p>
        </w:tc>
      </w:tr>
      <w:tr>
        <w:trPr>
          <w:trHeight w:val="923" w:hRule="atLeast"/>
        </w:trPr>
        <w:tc>
          <w:tcPr>
            <w:tcW w:w="7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sz w:val="22"/>
                <w:szCs w:val="22"/>
              </w:rPr>
            </w:pPr>
            <w:r>
              <w:rPr>
                <w:rFonts w:eastAsia="Merriweather" w:cs="Arial" w:ascii="Arial" w:hAnsi="Arial"/>
                <w:b/>
                <w:kern w:val="0"/>
                <w:sz w:val="22"/>
                <w:szCs w:val="22"/>
                <w:lang w:val="pt-BR" w:eastAsia="pt-BR" w:bidi="ar-SA"/>
              </w:rPr>
              <w:t>01</w:t>
            </w:r>
          </w:p>
        </w:tc>
        <w:tc>
          <w:tcPr>
            <w:tcW w:w="3931" w:type="dxa"/>
            <w:tcBorders/>
            <w:vAlign w:val="center"/>
          </w:tcPr>
          <w:p>
            <w:pPr>
              <w:pStyle w:val="Normal"/>
              <w:bidi w:val="0"/>
              <w:jc w:val="center"/>
              <w:rPr>
                <w:sz w:val="22"/>
                <w:szCs w:val="22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position w:val="-2"/>
                <w:sz w:val="22"/>
                <w:szCs w:val="22"/>
                <w:u w:val="none"/>
                <w:em w:val="none"/>
              </w:rPr>
              <w:t>Tubo/cano coletor ocre rígido de 200mm, com barras de 6 metros</w:t>
            </w:r>
          </w:p>
          <w:p>
            <w:pPr>
              <w:pStyle w:val="Normal"/>
              <w:widowControl/>
              <w:spacing w:before="0" w:after="0"/>
              <w:ind w:hanging="2" w:left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rFonts w:ascii="Arial" w:hAnsi="Arial" w:eastAsia="Merriweather" w:cs="Arial"/>
                <w:b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bCs/>
                <w:kern w:val="0"/>
                <w:sz w:val="18"/>
                <w:szCs w:val="18"/>
                <w:lang w:val="pt-BR" w:eastAsia="pt-BR" w:bidi="ar-SA"/>
              </w:rPr>
              <w:t xml:space="preserve"> </w:t>
            </w:r>
            <w:r>
              <w:rPr>
                <w:rFonts w:eastAsia="Merriweather" w:cs="Arial" w:ascii="sans-serif" w:hAnsi="sans-serif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pt-BR" w:bidi="ar-SA"/>
              </w:rPr>
              <w:t>23</w:t>
            </w:r>
            <w:r>
              <w:rPr>
                <w:rFonts w:eastAsia="Merriweather" w:cs="Arial" w:ascii="Arial" w:hAnsi="Arial"/>
                <w:b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pt-BR" w:eastAsia="pt-BR" w:bidi="ar-SA"/>
              </w:rPr>
              <w:t>8151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 w:left="0" w:right="-330"/>
              <w:jc w:val="left"/>
              <w:rPr>
                <w:rFonts w:ascii="Arial" w:hAnsi="Arial" w:eastAsia="Merriweather" w:cs="Arial"/>
                <w:b/>
                <w:color w:themeColor="text1" w:val="000000"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color w:themeColor="text1" w:val="000000"/>
                <w:kern w:val="0"/>
                <w:sz w:val="18"/>
                <w:szCs w:val="18"/>
                <w:lang w:val="pt-BR" w:eastAsia="pt-BR" w:bidi="ar-SA"/>
              </w:rPr>
              <w:t xml:space="preserve"> </w:t>
            </w:r>
            <w:r>
              <w:rPr>
                <w:rFonts w:eastAsia="Merriweather" w:cs="Arial" w:ascii="Arial" w:hAnsi="Arial"/>
                <w:b/>
                <w:color w:themeColor="text1" w:val="000000"/>
                <w:kern w:val="0"/>
                <w:sz w:val="18"/>
                <w:szCs w:val="18"/>
                <w:lang w:val="pt-BR" w:eastAsia="pt-BR" w:bidi="ar-SA"/>
              </w:rPr>
              <w:t>UND</w:t>
            </w:r>
          </w:p>
        </w:tc>
        <w:tc>
          <w:tcPr>
            <w:tcW w:w="7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rFonts w:ascii="Arial" w:hAnsi="Arial" w:eastAsia="Merriweather" w:cs="Arial"/>
                <w:b/>
                <w:color w:themeColor="text1" w:val="000000"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color w:themeColor="text1" w:val="000000"/>
                <w:kern w:val="0"/>
                <w:sz w:val="18"/>
                <w:szCs w:val="18"/>
                <w:lang w:val="pt-BR" w:eastAsia="pt-BR" w:bidi="ar-SA"/>
              </w:rPr>
              <w:t xml:space="preserve">  </w:t>
            </w:r>
            <w:r>
              <w:rPr>
                <w:rFonts w:eastAsia="Merriweather" w:cs="Arial" w:ascii="Arial" w:hAnsi="Arial"/>
                <w:b/>
                <w:color w:themeColor="text1" w:val="000000"/>
                <w:kern w:val="0"/>
                <w:sz w:val="18"/>
                <w:szCs w:val="18"/>
                <w:lang w:val="pt-BR" w:eastAsia="pt-BR" w:bidi="ar-SA"/>
              </w:rPr>
              <w:t>10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 w:left="-105" w:right="-184"/>
              <w:jc w:val="left"/>
              <w:rPr>
                <w:rFonts w:ascii="Arial" w:hAnsi="Arial" w:eastAsia="Merriweather" w:cs="Arial"/>
                <w:b/>
                <w:color w:themeColor="text1" w:val="000000"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color w:themeColor="text1" w:val="000000"/>
                <w:kern w:val="0"/>
                <w:sz w:val="18"/>
                <w:szCs w:val="18"/>
                <w:lang w:val="pt-BR" w:eastAsia="pt-BR" w:bidi="ar-SA"/>
              </w:rPr>
              <w:t xml:space="preserve">    </w:t>
            </w:r>
            <w:r>
              <w:rPr>
                <w:rFonts w:eastAsia="Merriweather" w:cs="Arial" w:ascii="Arial" w:hAnsi="Arial"/>
                <w:b/>
                <w:color w:themeColor="text1" w:val="000000"/>
                <w:kern w:val="0"/>
                <w:sz w:val="18"/>
                <w:szCs w:val="18"/>
                <w:lang w:val="pt-BR" w:eastAsia="pt-BR" w:bidi="ar-SA"/>
              </w:rPr>
              <w:t>R$ 528,89</w:t>
            </w:r>
          </w:p>
          <w:p>
            <w:pPr>
              <w:pStyle w:val="Normal"/>
              <w:widowControl/>
              <w:spacing w:before="0" w:after="0"/>
              <w:ind w:hanging="0" w:left="-105" w:right="-184"/>
              <w:jc w:val="left"/>
              <w:rPr>
                <w:rFonts w:ascii="Arial" w:hAnsi="Arial" w:eastAsia="Merriweather" w:cs="Arial"/>
                <w:b/>
                <w:color w:themeColor="text1" w:val="000000"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color w:themeColor="text1" w:val="000000"/>
                <w:sz w:val="18"/>
                <w:szCs w:val="18"/>
              </w:rPr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 w:left="-107" w:right="-426"/>
              <w:jc w:val="left"/>
              <w:rPr>
                <w:rFonts w:ascii="Arial" w:hAnsi="Arial" w:eastAsia="Merriweather" w:cs="Arial"/>
                <w:b/>
                <w:color w:themeColor="text1" w:val="000000"/>
                <w:sz w:val="18"/>
                <w:szCs w:val="18"/>
              </w:rPr>
            </w:pPr>
            <w:r>
              <w:rPr>
                <w:rFonts w:eastAsia="Merriweather" w:cs="Arial" w:ascii="Arial" w:hAnsi="Arial"/>
                <w:b/>
                <w:color w:themeColor="text1" w:val="000000"/>
                <w:kern w:val="0"/>
                <w:sz w:val="18"/>
                <w:szCs w:val="18"/>
                <w:lang w:val="pt-BR" w:eastAsia="pt-BR" w:bidi="ar-SA"/>
              </w:rPr>
              <w:t xml:space="preserve">   </w:t>
            </w:r>
            <w:r>
              <w:rPr>
                <w:rFonts w:eastAsia="Merriweather" w:cs="Arial" w:ascii="Arial" w:hAnsi="Arial"/>
                <w:b/>
                <w:color w:themeColor="text1" w:val="000000"/>
                <w:kern w:val="0"/>
                <w:sz w:val="18"/>
                <w:szCs w:val="18"/>
                <w:lang w:val="pt-BR" w:eastAsia="pt-BR" w:bidi="ar-SA"/>
              </w:rPr>
              <w:t>R$ 5.288,90</w:t>
            </w:r>
          </w:p>
        </w:tc>
      </w:tr>
    </w:tbl>
    <w:p>
      <w:pPr>
        <w:pStyle w:val="Normal"/>
        <w:ind w:hanging="0" w:left="0" w:right="-426"/>
        <w:rPr>
          <w:rFonts w:eastAsia="Merriweather"/>
          <w:b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eastAsia="Merriweather"/>
          <w:b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  <w:t>Prazos:</w:t>
      </w:r>
      <w:r>
        <w:rPr>
          <w:color w:themeColor="text1" w:val="000000"/>
          <w:sz w:val="22"/>
          <w:szCs w:val="22"/>
        </w:rPr>
        <w:t xml:space="preserve"> 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Previsão de data em que deve ser assinado o instrumento contratual: 04/2025;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Estimada de disponibilização do bem/serviço: 04/2025;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Data início da execução: 04/2025;</w:t>
      </w:r>
    </w:p>
    <w:p>
      <w:pPr>
        <w:pStyle w:val="ListParagraph"/>
        <w:ind w:hanging="2" w:left="0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Requisitos da contratação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Garantia do Produto: Garantia mínima de 12 (doze) meses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0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Local da entrega: </w:t>
      </w:r>
      <w:r>
        <w:rPr>
          <w:rFonts w:eastAsia="Merriweather"/>
        </w:rPr>
        <w:t>Almoxarifado Central</w:t>
      </w:r>
    </w:p>
    <w:p>
      <w:pPr>
        <w:pStyle w:val="ListParagraph"/>
        <w:numPr>
          <w:ilvl w:val="1"/>
          <w:numId w:val="1"/>
        </w:numPr>
        <w:ind w:hanging="437" w:left="426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Endereço de entrega:</w:t>
      </w:r>
      <w:r>
        <w:rPr>
          <w:color w:themeColor="text1" w:val="000000"/>
          <w:sz w:val="22"/>
          <w:szCs w:val="22"/>
        </w:rPr>
        <w:t xml:space="preserve"> </w:t>
      </w:r>
      <w:r>
        <w:rPr>
          <w:rFonts w:eastAsia="Merriweather"/>
          <w:color w:themeColor="text1" w:val="000000"/>
          <w:sz w:val="22"/>
          <w:szCs w:val="22"/>
        </w:rPr>
        <w:t>Avenida Prefeito Moacyr Castanho Nº 1434, Centro, CEP 86.360-000 – Bandeirantes – PR.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Telefone de Contato: (43) 3542-4525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Horário da Entrega: 07h30 às 11h00 e das 13h00 às 17h00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Data da vigência do contrato: 180 (cento e oitenta) dias</w:t>
      </w:r>
    </w:p>
    <w:p>
      <w:pPr>
        <w:pStyle w:val="ListParagraph"/>
        <w:ind w:hanging="2" w:left="0"/>
        <w:rPr>
          <w:rFonts w:eastAsia="Merriweather"/>
          <w:b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eastAsia="Merriweather"/>
          <w:b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  <w:t>Créditos orçamentários: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7" w:leader="none"/>
        </w:tabs>
        <w:ind w:hanging="0" w:left="0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Valor estimado da contratação mediante orçamento prévio: R$ 5.288,90 (Cinco mil, duzentos e oitenta e oito reais e noventa centavos)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567" w:leader="none"/>
        </w:tabs>
        <w:ind w:hanging="720" w:left="709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Valor de Custeio: R$ 0,00                                                                                                                                          </w:t>
      </w:r>
    </w:p>
    <w:p>
      <w:pPr>
        <w:pStyle w:val="ListParagraph"/>
        <w:numPr>
          <w:ilvl w:val="2"/>
          <w:numId w:val="1"/>
        </w:numPr>
        <w:ind w:hanging="0" w:left="0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Valor estimado investimento: R$ 5.288,90 (Cinco mil, duzentos e oitenta e oito reais e noventa centavos)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4" w:leader="none"/>
          <w:tab w:val="left" w:pos="426" w:leader="none"/>
        </w:tabs>
        <w:ind w:hanging="0" w:left="0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Ação do Plano Operacional (Plano Interno): R$ 0,00</w:t>
      </w:r>
    </w:p>
    <w:p>
      <w:pPr>
        <w:pStyle w:val="ListParagraph"/>
        <w:numPr>
          <w:ilvl w:val="1"/>
          <w:numId w:val="1"/>
        </w:numPr>
        <w:ind w:hanging="0" w:left="0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Plano Orçamentário: </w:t>
      </w:r>
    </w:p>
    <w:p>
      <w:pPr>
        <w:pStyle w:val="ListParagraph"/>
        <w:numPr>
          <w:ilvl w:val="0"/>
          <w:numId w:val="0"/>
        </w:numPr>
        <w:ind w:hanging="0" w:left="0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tbl>
      <w:tblPr>
        <w:tblStyle w:val="Tabelacomgrade"/>
        <w:tblW w:w="9225" w:type="dxa"/>
        <w:jc w:val="left"/>
        <w:tblInd w:w="-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5"/>
        <w:gridCol w:w="3752"/>
        <w:gridCol w:w="2358"/>
      </w:tblGrid>
      <w:tr>
        <w:trPr>
          <w:trHeight w:val="302" w:hRule="atLeast"/>
        </w:trPr>
        <w:tc>
          <w:tcPr>
            <w:tcW w:w="3115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2100" w:leader="none"/>
              </w:tabs>
              <w:suppressAutoHyphens w:val="true"/>
              <w:spacing w:before="0" w:after="0"/>
              <w:ind w:hanging="0" w:left="0"/>
              <w:jc w:val="center"/>
              <w:rPr>
                <w:rFonts w:eastAsia="Merriweather"/>
                <w:color w:themeColor="text1" w:val="000000"/>
                <w:sz w:val="16"/>
                <w:szCs w:val="16"/>
              </w:rPr>
            </w:pPr>
            <w:r>
              <w:rPr>
                <w:rFonts w:eastAsia="Merriweather" w:cs="Times New Roman"/>
                <w:color w:themeColor="text1" w:val="000000"/>
                <w:kern w:val="0"/>
                <w:sz w:val="16"/>
                <w:szCs w:val="16"/>
                <w:lang w:val="pt-BR" w:eastAsia="pt-BR" w:bidi="ar-SA"/>
              </w:rPr>
              <w:t>Dotação</w:t>
            </w:r>
          </w:p>
        </w:tc>
        <w:tc>
          <w:tcPr>
            <w:tcW w:w="3752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uppressAutoHyphens w:val="true"/>
              <w:spacing w:before="0" w:after="0"/>
              <w:ind w:hanging="0" w:left="0"/>
              <w:jc w:val="center"/>
              <w:rPr>
                <w:rFonts w:eastAsia="Merriweather"/>
                <w:color w:themeColor="text1" w:val="000000"/>
                <w:sz w:val="16"/>
                <w:szCs w:val="16"/>
              </w:rPr>
            </w:pPr>
            <w:r>
              <w:rPr>
                <w:rFonts w:eastAsia="Merriweather" w:cs="Times New Roman"/>
                <w:color w:themeColor="text1" w:val="000000"/>
                <w:kern w:val="0"/>
                <w:sz w:val="16"/>
                <w:szCs w:val="16"/>
                <w:lang w:val="pt-BR" w:eastAsia="pt-BR" w:bidi="ar-SA"/>
              </w:rPr>
              <w:t>Descrição</w:t>
            </w:r>
          </w:p>
        </w:tc>
        <w:tc>
          <w:tcPr>
            <w:tcW w:w="2358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uppressAutoHyphens w:val="true"/>
              <w:spacing w:before="0" w:after="0"/>
              <w:ind w:hanging="0" w:left="0"/>
              <w:jc w:val="center"/>
              <w:rPr>
                <w:rFonts w:eastAsia="Merriweather"/>
                <w:color w:themeColor="text1" w:val="000000"/>
                <w:sz w:val="16"/>
                <w:szCs w:val="16"/>
              </w:rPr>
            </w:pPr>
            <w:r>
              <w:rPr>
                <w:rFonts w:eastAsia="Merriweather" w:cs="Times New Roman"/>
                <w:color w:themeColor="text1" w:val="000000"/>
                <w:kern w:val="0"/>
                <w:sz w:val="16"/>
                <w:szCs w:val="16"/>
                <w:lang w:val="pt-BR" w:eastAsia="pt-BR" w:bidi="ar-SA"/>
              </w:rPr>
              <w:t>Recurso</w:t>
            </w:r>
          </w:p>
        </w:tc>
      </w:tr>
      <w:tr>
        <w:trPr>
          <w:trHeight w:val="622" w:hRule="atLeast"/>
        </w:trPr>
        <w:tc>
          <w:tcPr>
            <w:tcW w:w="3115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uppressAutoHyphens w:val="true"/>
              <w:spacing w:before="0" w:after="0"/>
              <w:ind w:hanging="0" w:left="0"/>
              <w:jc w:val="left"/>
              <w:rPr>
                <w:sz w:val="21"/>
                <w:szCs w:val="21"/>
              </w:rPr>
            </w:pPr>
            <w:r>
              <w:rPr>
                <w:rFonts w:eastAsia="Merriweather"/>
                <w:color w:themeColor="text1" w:val="00000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163 - 04.001.18.542.1800.2034.3.3.90.30.00  </w:t>
            </w:r>
          </w:p>
        </w:tc>
        <w:tc>
          <w:tcPr>
            <w:tcW w:w="3752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uppressAutoHyphens w:val="true"/>
              <w:spacing w:before="0" w:after="0"/>
              <w:ind w:hanging="0" w:left="0"/>
              <w:jc w:val="both"/>
              <w:rPr>
                <w:rFonts w:eastAsia="Merriweather"/>
                <w:color w:themeColor="text1" w:val="000000"/>
                <w:sz w:val="16"/>
                <w:szCs w:val="16"/>
              </w:rPr>
            </w:pPr>
            <w:r>
              <w:rPr>
                <w:rFonts w:eastAsia="Merriweather" w:cs="Times New Roman"/>
                <w:kern w:val="0"/>
                <w:sz w:val="16"/>
                <w:szCs w:val="16"/>
                <w:lang w:val="pt-BR" w:eastAsia="pt-BR" w:bidi="ar-SA"/>
              </w:rPr>
              <w:t xml:space="preserve"> </w:t>
            </w:r>
          </w:p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uppressAutoHyphens w:val="true"/>
              <w:spacing w:before="0" w:after="0"/>
              <w:ind w:hanging="0" w:left="0"/>
              <w:jc w:val="both"/>
              <w:rPr>
                <w:rFonts w:eastAsia="Merriweather"/>
                <w:color w:themeColor="text1" w:val="000000"/>
                <w:sz w:val="16"/>
                <w:szCs w:val="16"/>
              </w:rPr>
            </w:pPr>
            <w:r>
              <w:rPr>
                <w:rFonts w:eastAsia="Merriweather" w:cs="Times New Roman"/>
                <w:kern w:val="0"/>
                <w:sz w:val="16"/>
                <w:szCs w:val="16"/>
                <w:lang w:val="pt-BR" w:eastAsia="pt-BR" w:bidi="ar-SA"/>
              </w:rPr>
              <w:t xml:space="preserve">MANUTENÇÃO DA SECRETARIA DO MEIO AMBIENTE </w:t>
            </w:r>
          </w:p>
        </w:tc>
        <w:tc>
          <w:tcPr>
            <w:tcW w:w="2358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uppressAutoHyphens w:val="true"/>
              <w:spacing w:before="0" w:after="0"/>
              <w:ind w:hanging="0" w:left="0"/>
              <w:jc w:val="both"/>
              <w:rPr>
                <w:rFonts w:eastAsia="Merriweather"/>
                <w:color w:themeColor="text1" w:val="000000"/>
                <w:sz w:val="16"/>
                <w:szCs w:val="16"/>
              </w:rPr>
            </w:pPr>
            <w:r>
              <w:rPr/>
            </w:r>
          </w:p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uppressAutoHyphens w:val="true"/>
              <w:spacing w:before="0" w:after="0"/>
              <w:ind w:hanging="0" w:left="0"/>
              <w:jc w:val="center"/>
              <w:rPr>
                <w:rFonts w:eastAsia="Merriweather"/>
                <w:color w:themeColor="text1" w:val="000000"/>
                <w:sz w:val="16"/>
                <w:szCs w:val="16"/>
              </w:rPr>
            </w:pPr>
            <w:r>
              <w:rPr>
                <w:rFonts w:eastAsia="Merriweather" w:cs="Times New Roman"/>
                <w:color w:themeColor="text1" w:val="000000"/>
                <w:kern w:val="0"/>
                <w:sz w:val="16"/>
                <w:szCs w:val="16"/>
                <w:lang w:val="pt-BR" w:eastAsia="pt-BR" w:bidi="ar-SA"/>
              </w:rPr>
              <w:t xml:space="preserve">00000/00000.01.07. 00.00.1.500.0000 </w:t>
            </w:r>
          </w:p>
        </w:tc>
      </w:tr>
    </w:tbl>
    <w:p>
      <w:pPr>
        <w:pStyle w:val="ListParagraph"/>
        <w:numPr>
          <w:ilvl w:val="0"/>
          <w:numId w:val="0"/>
        </w:numPr>
        <w:ind w:hanging="0" w:left="0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  </w:t>
      </w:r>
    </w:p>
    <w:p>
      <w:pPr>
        <w:pStyle w:val="ListParagraph"/>
        <w:ind w:hanging="0" w:left="756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  <w:t>Grau de prioridade:</w:t>
      </w:r>
      <w:r>
        <w:rPr>
          <w:rFonts w:eastAsia="Merriweather"/>
          <w:color w:themeColor="text1" w:val="000000"/>
          <w:sz w:val="22"/>
          <w:szCs w:val="22"/>
        </w:rPr>
        <w:t xml:space="preserve"> (x) Alta</w:t>
        <w:tab/>
        <w:t>( ) Média</w:t>
        <w:tab/>
        <w:t>( ) Baixa</w:t>
      </w:r>
    </w:p>
    <w:p>
      <w:pPr>
        <w:pStyle w:val="ListParagraph"/>
        <w:ind w:hanging="0" w:left="36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  <w:t>Demanda inédita na Administração?</w:t>
      </w:r>
      <w:r>
        <w:rPr>
          <w:rFonts w:eastAsia="Merriweather"/>
          <w:color w:themeColor="text1" w:val="000000"/>
          <w:sz w:val="22"/>
          <w:szCs w:val="22"/>
        </w:rPr>
        <w:t xml:space="preserve"> ( ) SIM</w:t>
        <w:tab/>
        <w:t xml:space="preserve"> (x) NÃO</w:t>
      </w:r>
    </w:p>
    <w:p>
      <w:pPr>
        <w:pStyle w:val="ListParagraph"/>
        <w:ind w:hanging="2" w:left="0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eastAsia="Merriweather"/>
          <w:b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  <w:t xml:space="preserve">Indicação do(s) integrante(s) da equipe de planejamento: </w:t>
      </w:r>
    </w:p>
    <w:p>
      <w:pPr>
        <w:pStyle w:val="ListParagraph"/>
        <w:numPr>
          <w:ilvl w:val="0"/>
          <w:numId w:val="2"/>
        </w:numPr>
        <w:ind w:hanging="360" w:left="72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Fiscal: P</w:t>
      </w:r>
      <w:r>
        <w:rPr/>
        <w:t xml:space="preserve">aulo Aparecido Valentin Arruda </w:t>
      </w:r>
    </w:p>
    <w:p>
      <w:pPr>
        <w:pStyle w:val="ListParagraph"/>
        <w:numPr>
          <w:ilvl w:val="0"/>
          <w:numId w:val="2"/>
        </w:numPr>
        <w:ind w:hanging="0" w:left="36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Assessoria de Planejamento: Patrícia de Oliveira Pedroso</w:t>
      </w:r>
    </w:p>
    <w:p>
      <w:pPr>
        <w:pStyle w:val="ListParagraph"/>
        <w:numPr>
          <w:ilvl w:val="0"/>
          <w:numId w:val="2"/>
        </w:numPr>
        <w:ind w:hanging="360" w:left="72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>Gestor do Contrato: José de Carvalho Henriques Neto</w:t>
      </w:r>
    </w:p>
    <w:p>
      <w:pPr>
        <w:pStyle w:val="Normal"/>
        <w:ind w:hanging="0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</w:r>
    </w:p>
    <w:p>
      <w:pPr>
        <w:pStyle w:val="Normal"/>
        <w:ind w:hanging="0" w:left="0" w:right="-426"/>
        <w:jc w:val="both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color w:themeColor="text1" w:val="000000"/>
          <w:sz w:val="22"/>
          <w:szCs w:val="22"/>
        </w:rPr>
        <w:t xml:space="preserve">                                                                                </w:t>
      </w:r>
    </w:p>
    <w:p>
      <w:pPr>
        <w:pStyle w:val="Normal"/>
        <w:ind w:hanging="0" w:left="-1" w:right="-426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Submeto o Documento de Formalização da Demanda para avaliação.</w:t>
      </w:r>
    </w:p>
    <w:p>
      <w:pPr>
        <w:pStyle w:val="Normal"/>
        <w:ind w:hanging="0" w:left="-1" w:right="-426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ind w:hanging="0" w:left="-1" w:right="-426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Bandeirantes, 17 de março de 2025.</w:t>
      </w:r>
    </w:p>
    <w:p>
      <w:pPr>
        <w:pStyle w:val="Normal"/>
        <w:ind w:hanging="0" w:left="-1" w:right="-426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ind w:hanging="0" w:left="-1" w:right="-426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ind w:hanging="0" w:left="-1" w:right="-426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ind w:hanging="0" w:left="-1" w:right="-426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</w:t>
      </w:r>
    </w:p>
    <w:p>
      <w:pPr>
        <w:pStyle w:val="ListParagraph"/>
        <w:ind w:hanging="360" w:left="720" w:right="-426"/>
        <w:jc w:val="center"/>
        <w:rPr>
          <w:rFonts w:eastAsia="Merriweather"/>
          <w:color w:themeColor="text1" w:val="000000"/>
          <w:sz w:val="22"/>
          <w:szCs w:val="22"/>
        </w:rPr>
      </w:pPr>
      <w:r>
        <w:rPr>
          <w:rFonts w:eastAsia="Merriweather"/>
          <w:b/>
          <w:color w:themeColor="text1" w:val="000000"/>
          <w:sz w:val="22"/>
          <w:szCs w:val="22"/>
        </w:rPr>
        <w:t>José de Carvalho Henriques Neto</w:t>
      </w:r>
    </w:p>
    <w:p>
      <w:pPr>
        <w:pStyle w:val="Normal"/>
        <w:ind w:hanging="0" w:left="0" w:right="-426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Secretária de Meio Ambiente e Recursos Hídricos</w:t>
      </w:r>
    </w:p>
    <w:p>
      <w:pPr>
        <w:pStyle w:val="Normal"/>
        <w:tabs>
          <w:tab w:val="clear" w:pos="720"/>
          <w:tab w:val="left" w:pos="495" w:leader="none"/>
          <w:tab w:val="left" w:pos="567" w:leader="none"/>
        </w:tabs>
        <w:ind w:hanging="0" w:left="281" w:right="-426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701" w:gutter="0" w:header="720" w:top="2410" w:footer="720" w:bottom="99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swiss"/>
    <w:pitch w:val="variable"/>
  </w:font>
  <w:font w:name="Segoe U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Nyala">
    <w:charset w:val="00"/>
    <w:family w:val="auto"/>
    <w:pitch w:val="variable"/>
  </w:font>
  <w:font w:name="Georgia">
    <w:charset w:val="00"/>
    <w:family w:val="roman"/>
    <w:pitch w:val="variable"/>
  </w:font>
  <w:font w:name="sans-serif">
    <w:altName w:val="Arial"/>
    <w:charset w:val="00"/>
    <w:family w:val="auto"/>
    <w:pitch w:val="variable"/>
  </w:font>
  <w:font w:name="Algerian">
    <w:altName w:val="comic"/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2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8255" distL="0" distR="0" simplePos="0" locked="0" layoutInCell="1" allowOverlap="1" relativeHeight="9" wp14:anchorId="4ECDBE07">
              <wp:simplePos x="0" y="0"/>
              <wp:positionH relativeFrom="column">
                <wp:posOffset>733425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3" name="Retângul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user"/>
                            <w:spacing w:lineRule="auto" w:line="240" w:before="360" w:after="0"/>
                            <w:ind w:hanging="4" w:left="2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user"/>
                            <w:spacing w:lineRule="auto" w:line="240" w:before="120" w:after="0"/>
                            <w:ind w:hanging="3" w:left="1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user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3" path="m0,0l-2147483645,0l-2147483645,-2147483646l0,-2147483646xe" stroked="f" o:allowincell="f" style="position:absolute;margin-left:57.75pt;margin-top:-8.05pt;width:405.1pt;height:84.85pt;mso-wrap-style:square;v-text-anchor:top" wp14:anchorId="4ECDBE07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user"/>
                      <w:spacing w:lineRule="auto" w:line="240" w:before="360" w:after="0"/>
                      <w:ind w:hanging="4" w:left="2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>
                    <w:pPr>
                      <w:pStyle w:val="Contedodoquadrouser"/>
                      <w:spacing w:lineRule="auto" w:line="240" w:before="120" w:after="0"/>
                      <w:ind w:hanging="3" w:left="1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>
                    <w:pPr>
                      <w:pStyle w:val="Contedodoquadrouser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4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8255" distL="0" distR="0" simplePos="0" locked="0" layoutInCell="1" allowOverlap="1" relativeHeight="9" wp14:anchorId="4ECDBE07">
              <wp:simplePos x="0" y="0"/>
              <wp:positionH relativeFrom="column">
                <wp:posOffset>733425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5" name="Retângul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user"/>
                            <w:spacing w:lineRule="auto" w:line="240" w:before="360" w:after="0"/>
                            <w:ind w:hanging="4" w:left="2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user"/>
                            <w:spacing w:lineRule="auto" w:line="240" w:before="120" w:after="0"/>
                            <w:ind w:hanging="3" w:left="1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user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3" path="m0,0l-2147483645,0l-2147483645,-2147483646l0,-2147483646xe" stroked="f" o:allowincell="f" style="position:absolute;margin-left:57.75pt;margin-top:-8.05pt;width:405.1pt;height:84.85pt;mso-wrap-style:square;v-text-anchor:top" wp14:anchorId="4ECDBE07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user"/>
                      <w:spacing w:lineRule="auto" w:line="240" w:before="360" w:after="0"/>
                      <w:ind w:hanging="4" w:left="2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>
                    <w:pPr>
                      <w:pStyle w:val="Contedodoquadrouser"/>
                      <w:spacing w:lineRule="auto" w:line="240" w:before="120" w:after="0"/>
                      <w:ind w:hanging="3" w:left="1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>
                    <w:pPr>
                      <w:pStyle w:val="Contedodoquadrouser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756" w:hanging="720"/>
      </w:pPr>
      <w:rPr>
        <w:vertAlign w:val="baseline"/>
        <w:position w:val="0"/>
        <w:sz w:val="24"/>
        <w:sz w:val="24"/>
        <w:color w:val="auto"/>
      </w:rPr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756" w:hanging="720"/>
      </w:pPr>
      <w:rPr>
        <w:sz w:val="20"/>
        <w:szCs w:val="20"/>
      </w:rPr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116" w:hanging="108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76" w:hanging="144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476" w:hanging="144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836" w:hanging="180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836" w:hanging="180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2196" w:hanging="216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position w:val="-1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ind w:left="3969"/>
      <w:jc w:val="both"/>
    </w:pPr>
    <w:rPr>
      <w:b/>
      <w:szCs w:val="20"/>
      <w:u w:val="single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RodapChar" w:customStyle="1">
    <w:name w:val="Rodapé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Ttulo3Char" w:customStyle="1">
    <w:name w:val="Título 3 Char"/>
    <w:qFormat/>
    <w:rPr>
      <w:rFonts w:ascii="Calibri Light" w:hAnsi="Calibri Light" w:eastAsia="Times New Roman" w:cs="Times New Roman"/>
      <w:b/>
      <w:b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Recuodecorpodetexto3Char" w:customStyle="1">
    <w:name w:val="Recuo de corpo de texto 3 Char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xtodenotaderodapChar" w:customStyle="1">
    <w:name w:val="Texto de nota de rodapé Char"/>
    <w:basedOn w:val="DefaultParagraphFont"/>
    <w:uiPriority w:val="99"/>
    <w:semiHidden/>
    <w:qFormat/>
    <w:rsid w:val="00663379"/>
    <w:rPr>
      <w:sz w:val="20"/>
      <w:szCs w:val="20"/>
      <w:vertAlign w:val="subscript"/>
    </w:rPr>
  </w:style>
  <w:style w:type="character" w:styleId="Caracteresdenotaderodap">
    <w:name w:val="Caracteres de nota de rodapé"/>
    <w:uiPriority w:val="99"/>
    <w:semiHidden/>
    <w:unhideWhenUsed/>
    <w:qFormat/>
    <w:rsid w:val="00663379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a22ee"/>
    <w:rPr>
      <w:color w:themeColor="hyperlink" w:val="0000FF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BodyTextIndent">
    <w:name w:val="Body Text Indent"/>
    <w:basedOn w:val="Normal"/>
    <w:pPr>
      <w:ind w:firstLine="3118" w:left="851"/>
      <w:jc w:val="both"/>
    </w:pPr>
    <w:rPr>
      <w:sz w:val="28"/>
      <w:szCs w:val="20"/>
    </w:rPr>
  </w:style>
  <w:style w:type="paragraph" w:styleId="BodyTextIndent2">
    <w:name w:val="Body Text Indent 2"/>
    <w:basedOn w:val="Normal"/>
    <w:qFormat/>
    <w:pPr>
      <w:ind w:firstLine="2889" w:left="1080"/>
      <w:jc w:val="both"/>
    </w:pPr>
    <w:rPr>
      <w:bCs/>
      <w:sz w:val="25"/>
      <w:szCs w:val="28"/>
    </w:rPr>
  </w:style>
  <w:style w:type="paragraph" w:styleId="Cabealhoerodapuser">
    <w:name w:val="Cabeçalho e rodapé (user)"/>
    <w:basedOn w:val="Normal"/>
    <w:qFormat/>
    <w:pPr/>
    <w:rPr/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qFormat/>
    <w:pPr/>
    <w:rPr>
      <w:rFonts w:ascii="Segoe UI" w:hAnsi="Segoe UI"/>
      <w:sz w:val="18"/>
      <w:szCs w:val="18"/>
    </w:rPr>
  </w:style>
  <w:style w:type="paragraph" w:styleId="BodyTextIndent3">
    <w:name w:val="Body Text Indent 3"/>
    <w:basedOn w:val="Normal"/>
    <w:qFormat/>
    <w:pPr>
      <w:spacing w:before="0" w:after="120"/>
      <w:ind w:left="283"/>
    </w:pPr>
    <w:rPr>
      <w:sz w:val="16"/>
      <w:szCs w:val="16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Nyala" w:hAnsi="Nyala" w:eastAsia="Calibri" w:cs="Nyala"/>
      <w:color w:val="000000"/>
      <w:kern w:val="0"/>
      <w:position w:val="-1"/>
      <w:sz w:val="24"/>
      <w:szCs w:val="24"/>
      <w:lang w:val="pt-BR" w:eastAsia="en-US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8c672b"/>
    <w:pPr>
      <w:spacing w:before="0" w:after="0"/>
      <w:ind w:left="720"/>
      <w:contextualSpacing/>
    </w:pPr>
    <w:rPr/>
  </w:style>
  <w:style w:type="paragraph" w:styleId="FootnoteText">
    <w:name w:val="footnote text"/>
    <w:basedOn w:val="Normal"/>
    <w:link w:val="TextodenotaderodapChar"/>
    <w:uiPriority w:val="99"/>
    <w:semiHidden/>
    <w:unhideWhenUsed/>
    <w:rsid w:val="00663379"/>
    <w:pPr>
      <w:spacing w:lineRule="auto" w:line="240"/>
    </w:pPr>
    <w:rPr>
      <w:sz w:val="20"/>
      <w:szCs w:val="20"/>
    </w:rPr>
  </w:style>
  <w:style w:type="paragraph" w:styleId="Contedodoquadrouser">
    <w:name w:val="Conteúdo do quadro (user)"/>
    <w:basedOn w:val="Normal"/>
    <w:qFormat/>
    <w:pPr/>
    <w:rPr/>
  </w:style>
  <w:style w:type="paragraph" w:styleId="Contedodoquadro">
    <w:name w:val="Conteúdo do quadro"/>
    <w:basedOn w:val="Normal"/>
    <w:qFormat/>
    <w:pPr/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704db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B94847A7-7973-4002-BDE2-03690C7419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Application>LibreOffice/24.8.5.2$Windows_X86_64 LibreOffice_project/fddf2685c70b461e7832239a0162a77216259f22</Application>
  <AppVersion>15.0000</AppVersion>
  <Pages>3</Pages>
  <Words>730</Words>
  <Characters>4141</Characters>
  <CharactersWithSpaces>5431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2024-04-19T11:48:00Z</dcterms:created>
  <dc:creator>x</dc:creator>
  <dc:description/>
  <dc:language>pt-BR</dc:language>
  <cp:lastModifiedBy/>
  <cp:lastPrinted>2025-03-17T14:21:02Z</cp:lastPrinted>
  <dcterms:modified xsi:type="dcterms:W3CDTF">2025-03-17T16:33:44Z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