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2A47F" w14:textId="77777777" w:rsidR="003A0AD4" w:rsidRPr="002735D9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</w:rPr>
      </w:pPr>
      <w:r w:rsidRPr="002735D9">
        <w:rPr>
          <w:b/>
        </w:rPr>
        <w:t>LISTA DE VERIFICAÇÃO</w:t>
      </w:r>
    </w:p>
    <w:p w14:paraId="507159F3" w14:textId="77777777" w:rsidR="00B27C39" w:rsidRPr="002735D9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</w:rPr>
      </w:pPr>
    </w:p>
    <w:p w14:paraId="6EAD7AC5" w14:textId="77777777" w:rsidR="003A0AD4" w:rsidRPr="002735D9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 w:rsidRPr="002735D9">
        <w:rPr>
          <w:b/>
        </w:rPr>
        <w:t xml:space="preserve">PROCESSO </w:t>
      </w:r>
      <w:proofErr w:type="gramStart"/>
      <w:r w:rsidRPr="002735D9">
        <w:rPr>
          <w:b/>
        </w:rPr>
        <w:t>ADM.:_</w:t>
      </w:r>
      <w:proofErr w:type="gramEnd"/>
      <w:r w:rsidRPr="002735D9">
        <w:rPr>
          <w:b/>
        </w:rPr>
        <w:t>_____/________.</w:t>
      </w:r>
    </w:p>
    <w:p w14:paraId="378B103E" w14:textId="19966388" w:rsidR="003A0AD4" w:rsidRPr="002735D9" w:rsidRDefault="00764604" w:rsidP="00C32DDA">
      <w:pPr>
        <w:widowControl w:val="0"/>
        <w:spacing w:line="360" w:lineRule="auto"/>
        <w:jc w:val="both"/>
        <w:rPr>
          <w:b/>
        </w:rPr>
      </w:pPr>
      <w:r w:rsidRPr="002735D9">
        <w:rPr>
          <w:b/>
        </w:rPr>
        <w:t xml:space="preserve">OBJETO: </w:t>
      </w:r>
      <w:r w:rsidR="00F72C34" w:rsidRPr="00F72C34">
        <w:rPr>
          <w:b/>
        </w:rPr>
        <w:t>CONTRATAÇÃO DE PESSOA JURÍDICA PARA FORNECIMENTO DE LANCHES, SALGADOS, SUCOS, REFRIGERANTES E COFFEE BREAK PARA REALIZAÇÃO DE EVENTOS, REUNIÕES E CAPACITAÇÕES PROMOVIDOS PELAS DIVERSAS SECRETARIAS DO MUNICÍPIO DE BANDEIRANTES-PR.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:rsidRPr="002735D9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Pr="002735D9" w:rsidRDefault="003A0AD4" w:rsidP="005B406A">
            <w:pPr>
              <w:widowControl w:val="0"/>
              <w:ind w:hanging="2"/>
              <w:jc w:val="both"/>
            </w:pPr>
            <w:r w:rsidRPr="002735D9"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Pr="002735D9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 w:rsidRPr="002735D9"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Pr="002735D9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 w:rsidRPr="002735D9">
              <w:rPr>
                <w:b/>
              </w:rPr>
              <w:t>Indicação do local do processo em que foi atendida a exigência (doc./ fls.)</w:t>
            </w:r>
          </w:p>
        </w:tc>
      </w:tr>
      <w:tr w:rsidR="003A0AD4" w:rsidRPr="002735D9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412B76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1F3007" w:rsidRPr="002735D9">
              <w:t xml:space="preserve"> </w:t>
            </w:r>
            <w:r w:rsidRPr="002735D9">
              <w:t xml:space="preserve">  ) Sim</w:t>
            </w:r>
          </w:p>
          <w:p w14:paraId="7CE5A43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10DA51A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3119F61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="002735D9" w:rsidRPr="002735D9">
              <w:t xml:space="preserve"> </w:t>
            </w:r>
            <w:r w:rsidRPr="002735D9">
              <w:t>) Sim</w:t>
            </w:r>
          </w:p>
          <w:p w14:paraId="47CA9E5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32A8591" w14:textId="0CE089F4" w:rsidR="003A0AD4" w:rsidRPr="002735D9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4C02CCF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675431B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40309E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5081056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702C594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06AE82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4A2581E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03A4220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AB9907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38DA834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6. Foi certificado que objeto da contratação está contemplado no Plano de Contratações Anual? </w:t>
            </w:r>
            <w:r w:rsidR="006F4AB3" w:rsidRPr="002735D9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4529C95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6DBFDF68" w14:textId="56B389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4EA8726" w14:textId="61B60DE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5D1C52" w:rsidRPr="002735D9">
              <w:t xml:space="preserve">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D5562A0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15079A2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5FB12E85" w14:textId="03EB96A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237759E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7244758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75EBA41" w14:textId="5846C11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58AF2621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77FE538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2D768FC" w14:textId="5ACF785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37E4931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6F4AB3" w:rsidRPr="002735D9">
              <w:t>X</w:t>
            </w:r>
            <w:proofErr w:type="gramEnd"/>
            <w:r w:rsidRPr="002735D9">
              <w:t xml:space="preserve"> ) Sim</w:t>
            </w:r>
          </w:p>
          <w:p w14:paraId="1E9ADA7C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5BC7893" w14:textId="08F515EC" w:rsidR="003A0AD4" w:rsidRPr="002735D9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11. Consta justificativa para a ausência dos itens não obrigatórios dos Estudos Técnicos Preliminares?</w:t>
            </w:r>
            <w:r w:rsidR="006F4AB3" w:rsidRPr="002735D9"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7985167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1BCD39E" w14:textId="6CF3BB1E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56F3AAD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0568732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1315C21C" w14:textId="6A7E571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01E7534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744F7D3B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884406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14. Foi certificada a utilização do Sistema TR Digital ou o atendimento das regras e </w:t>
            </w:r>
            <w:r w:rsidR="006F4AB3" w:rsidRPr="002735D9">
              <w:t>procedimentos da IN ME 81/2022?</w:t>
            </w:r>
            <w:r w:rsidR="006F4AB3" w:rsidRPr="002735D9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54678AF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34B281C" w14:textId="09E1EF62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2735D9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64D40B6C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5C71AF5" w14:textId="78D6D48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3711C0EA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65203F0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11E692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4D12A204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2E29ADB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4474C8D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F4A8C7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EF5205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5E6A82E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72CBCF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5079EBD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440E3193" w14:textId="0134643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6F909B5B" w14:textId="0BF62CF6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D9469D9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54559062" w14:textId="71ADA383" w:rsidR="003A0AD4" w:rsidRPr="002735D9" w:rsidRDefault="00197930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 xml:space="preserve"> </w:t>
            </w:r>
            <w:proofErr w:type="gramEnd"/>
            <w:r w:rsidRPr="002735D9">
              <w:t xml:space="preserve">  </w:t>
            </w:r>
            <w:r w:rsidR="003A0AD4" w:rsidRPr="002735D9">
              <w:t xml:space="preserve"> ) Não</w:t>
            </w:r>
          </w:p>
          <w:p w14:paraId="7190F41D" w14:textId="142CB69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A0AD4" w:rsidRPr="002735D9" w:rsidRDefault="003A0AD4" w:rsidP="00690CBC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21. Caso o TR contemple exigências de qualificação técnica </w:t>
            </w:r>
            <w:r w:rsidRPr="002735D9">
              <w:lastRenderedPageBreak/>
              <w:t xml:space="preserve"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 w:rsidRPr="002735D9">
              <w:t>dispensá-las</w:t>
            </w:r>
            <w:proofErr w:type="gramEnd"/>
            <w:r w:rsidRPr="002735D9"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2B74FBD3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lastRenderedPageBreak/>
              <w:t xml:space="preserve">( </w:t>
            </w:r>
            <w:r w:rsidR="00AA7855">
              <w:t xml:space="preserve"> </w:t>
            </w:r>
            <w:proofErr w:type="gramEnd"/>
            <w:r w:rsidR="00AA7855">
              <w:t xml:space="preserve"> </w:t>
            </w:r>
            <w:r w:rsidRPr="002735D9">
              <w:t>) Sim</w:t>
            </w:r>
          </w:p>
          <w:p w14:paraId="10BFE9B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lastRenderedPageBreak/>
              <w:t xml:space="preserve">(  </w:t>
            </w:r>
            <w:proofErr w:type="gramEnd"/>
            <w:r w:rsidRPr="002735D9">
              <w:t xml:space="preserve">   ) Não</w:t>
            </w:r>
          </w:p>
          <w:p w14:paraId="2D75FA02" w14:textId="2AEC8243" w:rsidR="003A0AD4" w:rsidRPr="002735D9" w:rsidRDefault="003A0AD4" w:rsidP="00AA7855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AA7855">
              <w:t>x</w:t>
            </w:r>
            <w:proofErr w:type="gramEnd"/>
            <w:r w:rsidR="00AA7855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22. Ao final da elaboração do TR, houve avaliação quanto à necessidade de classificá-lo nos termos da Lei nº 12.527, de 18 de novembro de 2011?</w:t>
            </w:r>
            <w:r w:rsidR="00690CBC" w:rsidRPr="002735D9">
              <w:rPr>
                <w:vertAlign w:val="superscript"/>
              </w:rPr>
              <w:t xml:space="preserve"> 5</w:t>
            </w:r>
            <w:r w:rsidRPr="002735D9"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003A65B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1F3007" w:rsidRPr="002735D9">
              <w:t xml:space="preserve">  </w:t>
            </w:r>
            <w:r w:rsidR="002735D9" w:rsidRPr="002735D9">
              <w:t xml:space="preserve"> </w:t>
            </w:r>
            <w:r w:rsidRPr="002735D9">
              <w:t>) Sim</w:t>
            </w:r>
          </w:p>
          <w:p w14:paraId="3E5E4195" w14:textId="63F4404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8129F6" w:rsidRPr="002735D9">
              <w:t xml:space="preserve">  </w:t>
            </w:r>
            <w:r w:rsidRPr="002735D9">
              <w:t xml:space="preserve"> ) Não</w:t>
            </w:r>
          </w:p>
          <w:p w14:paraId="4106C187" w14:textId="15307D0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="002735D9" w:rsidRPr="002735D9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82AAE03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437F31B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57EF0E6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907C702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18E760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7D7481">
              <w:t xml:space="preserve"> </w:t>
            </w:r>
            <w:proofErr w:type="gramEnd"/>
            <w:r w:rsidR="007D7481">
              <w:t xml:space="preserve">  </w:t>
            </w:r>
            <w:r w:rsidRPr="002735D9">
              <w:t xml:space="preserve"> ) Sim</w:t>
            </w:r>
          </w:p>
          <w:p w14:paraId="35398B4B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BA19BC7" w14:textId="3ADC4E23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6F4AB3" w:rsidRPr="002735D9">
              <w:t xml:space="preserve"> </w:t>
            </w:r>
            <w:r w:rsidRPr="002735D9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1D8704F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5FD6474D" w14:textId="6C28C7FC" w:rsidR="003A0AD4" w:rsidRPr="002735D9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7D7481">
              <w:t xml:space="preserve"> </w:t>
            </w:r>
            <w:proofErr w:type="gramEnd"/>
            <w:r w:rsidR="007D7481">
              <w:t xml:space="preserve">  </w:t>
            </w:r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26. Caso o objeto contemple itens com valores inferiores a R$80.000,00, eles foram destinados às ME/</w:t>
            </w:r>
            <w:proofErr w:type="spellStart"/>
            <w:r w:rsidRPr="002735D9">
              <w:t>EPPs</w:t>
            </w:r>
            <w:proofErr w:type="spellEnd"/>
            <w:r w:rsidRPr="002735D9"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0ACBB26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DB247D" w:rsidRPr="002735D9">
              <w:t>X</w:t>
            </w:r>
            <w:proofErr w:type="gramEnd"/>
            <w:r w:rsidRPr="002735D9">
              <w:t xml:space="preserve"> ) Sim</w:t>
            </w:r>
          </w:p>
          <w:p w14:paraId="3F2EEE8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681766E" w14:textId="56153F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27. Foi mantida </w:t>
            </w:r>
            <w:proofErr w:type="gramStart"/>
            <w:r w:rsidRPr="002735D9">
              <w:t>no edital cláusula</w:t>
            </w:r>
            <w:proofErr w:type="gramEnd"/>
            <w:r w:rsidRPr="002735D9">
              <w:t xml:space="preserve">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01C7144A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AA7855">
              <w:t xml:space="preserve"> </w:t>
            </w:r>
            <w:proofErr w:type="gramEnd"/>
            <w:r w:rsidR="00AA7855">
              <w:t xml:space="preserve"> </w:t>
            </w:r>
            <w:r w:rsidRPr="002735D9">
              <w:t xml:space="preserve"> ) Sim</w:t>
            </w:r>
          </w:p>
          <w:p w14:paraId="17D626C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D9A4E3A" w14:textId="117D68F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50FF19A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F3007" w:rsidRPr="002735D9">
              <w:t xml:space="preserve"> </w:t>
            </w:r>
            <w:proofErr w:type="gramEnd"/>
            <w:r w:rsidR="001F3007" w:rsidRPr="002735D9">
              <w:t xml:space="preserve"> </w:t>
            </w:r>
            <w:r w:rsidR="002735D9" w:rsidRPr="002735D9">
              <w:t xml:space="preserve">  </w:t>
            </w:r>
            <w:r w:rsidRPr="002735D9">
              <w:t>) Sim</w:t>
            </w:r>
          </w:p>
          <w:p w14:paraId="4060212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2E45505" w14:textId="65883485" w:rsidR="003A0AD4" w:rsidRPr="002735D9" w:rsidRDefault="001F3007" w:rsidP="001F3007">
            <w:pPr>
              <w:widowControl w:val="0"/>
              <w:spacing w:line="276" w:lineRule="auto"/>
              <w:jc w:val="both"/>
            </w:pPr>
            <w:proofErr w:type="gramStart"/>
            <w:r w:rsidRPr="002735D9">
              <w:t>(</w:t>
            </w:r>
            <w:r w:rsidR="002735D9" w:rsidRPr="002735D9">
              <w:t xml:space="preserve"> </w:t>
            </w:r>
            <w:r w:rsidRPr="002735D9">
              <w:t>X</w:t>
            </w:r>
            <w:proofErr w:type="gramEnd"/>
            <w:r w:rsidR="003A0AD4"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338C0D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F3007" w:rsidRPr="002735D9">
              <w:t>X</w:t>
            </w:r>
            <w:proofErr w:type="gramEnd"/>
            <w:r w:rsidRPr="002735D9">
              <w:t xml:space="preserve"> ) Sim</w:t>
            </w:r>
          </w:p>
          <w:p w14:paraId="09366F1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850AFD5" w14:textId="692527FD" w:rsidR="003A0AD4" w:rsidRPr="002735D9" w:rsidRDefault="00C42082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 xml:space="preserve"> </w:t>
            </w:r>
            <w:proofErr w:type="gramEnd"/>
            <w:r w:rsidR="002735D9" w:rsidRPr="002735D9">
              <w:t xml:space="preserve"> </w:t>
            </w:r>
            <w:r w:rsidR="003A0AD4" w:rsidRPr="002735D9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Pr="002735D9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5CD4820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 w:rsidRPr="002735D9">
        <w:t>Observações:</w:t>
      </w:r>
    </w:p>
    <w:p w14:paraId="6F54C059" w14:textId="77777777" w:rsidR="001F3007" w:rsidRPr="002735D9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735D9"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1641689" w14:textId="77777777" w:rsidR="001F3007" w:rsidRPr="002735D9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735D9">
        <w:t>Não foi utilizado a minuta padronizada do Termo de Referência da Advocacia-Geral União, visto que o modelo utilizado no município foi disponibilizado pela Procuradoria Jurídica.</w:t>
      </w:r>
    </w:p>
    <w:p w14:paraId="17C15785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22.  Art. 10° da IN/SEGES/ME N.81/2022 diz que, ao final da elaboração do TR, deve-se avaliar a necessidade de </w:t>
      </w:r>
      <w:r w:rsidRPr="002735D9">
        <w:lastRenderedPageBreak/>
        <w:t xml:space="preserve">classificá-lo nos termos da Lei nº 12.527, de 18 de novembro de 2011. </w:t>
      </w:r>
    </w:p>
    <w:p w14:paraId="6F47434F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A Lei nº 12.527, de 18 de novembro de 2011. </w:t>
      </w:r>
      <w:proofErr w:type="gramStart"/>
      <w:r w:rsidRPr="002735D9">
        <w:t>traz</w:t>
      </w:r>
      <w:proofErr w:type="gramEnd"/>
      <w:r w:rsidRPr="002735D9">
        <w:t xml:space="preserve"> em sua Seção II: Da Classificação da Informação quanto ao Grau e Prazos de Sigilo – Art. 23, que:</w:t>
      </w:r>
    </w:p>
    <w:p w14:paraId="1BEE1E2B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São consideradas imprescindíveis à segurança da sociedade ou do Estado e, portanto, passíveis de classificação as informações cuja divulgação ou acesso irrestrito possam:</w:t>
      </w:r>
    </w:p>
    <w:p w14:paraId="190823D3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 - </w:t>
      </w:r>
      <w:proofErr w:type="gramStart"/>
      <w:r w:rsidRPr="002735D9">
        <w:t>pôr</w:t>
      </w:r>
      <w:proofErr w:type="gramEnd"/>
      <w:r w:rsidRPr="002735D9">
        <w:t xml:space="preserve"> em risco a defesa e a soberania nacionais ou a integridade do território nacional;</w:t>
      </w:r>
    </w:p>
    <w:p w14:paraId="68532513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II - </w:t>
      </w:r>
      <w:proofErr w:type="gramStart"/>
      <w:r w:rsidRPr="002735D9">
        <w:t>prejudicar ou pôr</w:t>
      </w:r>
      <w:proofErr w:type="gramEnd"/>
      <w:r w:rsidRPr="002735D9">
        <w:t xml:space="preserve"> em risco a condução de negociações ou as relações internacionais do País, ou as que tenham sido fornecidas em caráter sigiloso por outros Estados e organismos internacionais;</w:t>
      </w:r>
    </w:p>
    <w:p w14:paraId="58C2386C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III - pôr em risco a vida, a segurança ou a saúde da população;</w:t>
      </w:r>
    </w:p>
    <w:p w14:paraId="2DFB5E01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IV - </w:t>
      </w:r>
      <w:proofErr w:type="gramStart"/>
      <w:r w:rsidRPr="002735D9">
        <w:t>oferecer</w:t>
      </w:r>
      <w:proofErr w:type="gramEnd"/>
      <w:r w:rsidRPr="002735D9">
        <w:t xml:space="preserve"> elevado risco à estabilidade financeira, econômica ou monetária do País;</w:t>
      </w:r>
    </w:p>
    <w:p w14:paraId="1F520CE1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V - </w:t>
      </w:r>
      <w:proofErr w:type="gramStart"/>
      <w:r w:rsidRPr="002735D9">
        <w:t>prejudicar ou causar</w:t>
      </w:r>
      <w:proofErr w:type="gramEnd"/>
      <w:r w:rsidRPr="002735D9">
        <w:t xml:space="preserve"> risco a planos ou operações estratégicos das Forças Armadas;</w:t>
      </w:r>
    </w:p>
    <w:p w14:paraId="29C4D647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VI - </w:t>
      </w:r>
      <w:proofErr w:type="gramStart"/>
      <w:r w:rsidRPr="002735D9">
        <w:t>prejudicar ou causar</w:t>
      </w:r>
      <w:proofErr w:type="gramEnd"/>
      <w:r w:rsidRPr="002735D9">
        <w:t xml:space="preserve"> risco a projetos de pesquisa e desenvolvimento científico ou tecnológico, assim como a sistemas, bens, instalações ou áreas de interesse estratégico nacional;</w:t>
      </w:r>
    </w:p>
    <w:p w14:paraId="7F5D20A7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VII - pôr em risco a segurança de instituições ou de altas autoridades nacionais ou estrangeiras e seus familiares; ou</w:t>
      </w:r>
    </w:p>
    <w:p w14:paraId="32BAB615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VIII - comprometer atividades de inteligência, bem como de investigação ou fiscalização em andamento, relacionadas com a prevenção ou repressão de infrações.</w:t>
      </w:r>
    </w:p>
    <w:p w14:paraId="3FE81095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4D0EC82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E0E22E7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1F5DAC12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679EF232" w14:textId="3275B295" w:rsidR="001F3007" w:rsidRPr="00AA7855" w:rsidRDefault="001F3007" w:rsidP="00AA7855">
      <w:pPr>
        <w:spacing w:line="360" w:lineRule="auto"/>
        <w:ind w:hanging="2"/>
        <w:jc w:val="right"/>
        <w:rPr>
          <w:rFonts w:eastAsia="Merriweather"/>
        </w:rPr>
      </w:pPr>
      <w:r w:rsidRPr="00AA7855">
        <w:rPr>
          <w:rFonts w:eastAsia="Merriweather"/>
        </w:rPr>
        <w:t xml:space="preserve">Bandeirantes, </w:t>
      </w:r>
      <w:r w:rsidR="00DC6FB7">
        <w:rPr>
          <w:rFonts w:eastAsia="Merriweather"/>
        </w:rPr>
        <w:t>27</w:t>
      </w:r>
      <w:bookmarkStart w:id="0" w:name="_GoBack"/>
      <w:bookmarkEnd w:id="0"/>
      <w:r w:rsidR="00AA7855" w:rsidRPr="00AA7855">
        <w:rPr>
          <w:rFonts w:eastAsia="Merriweather"/>
        </w:rPr>
        <w:t xml:space="preserve"> de março de 2025</w:t>
      </w:r>
    </w:p>
    <w:p w14:paraId="57BE6931" w14:textId="77777777" w:rsidR="001F3007" w:rsidRPr="00AA7855" w:rsidRDefault="001F3007" w:rsidP="00AA7855">
      <w:pPr>
        <w:spacing w:line="360" w:lineRule="auto"/>
        <w:ind w:hanging="2"/>
        <w:jc w:val="right"/>
        <w:rPr>
          <w:rFonts w:eastAsia="Merriweather"/>
        </w:rPr>
      </w:pPr>
      <w:r w:rsidRPr="00AA7855">
        <w:rPr>
          <w:rFonts w:eastAsia="Merriweather"/>
        </w:rPr>
        <w:t xml:space="preserve"> </w:t>
      </w:r>
    </w:p>
    <w:p w14:paraId="3ED64E66" w14:textId="77777777" w:rsidR="001F3007" w:rsidRPr="002735D9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</w:p>
    <w:p w14:paraId="3E8A717A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Arial"/>
        </w:rPr>
      </w:pPr>
      <w:r w:rsidRPr="002735D9">
        <w:rPr>
          <w:rFonts w:eastAsia="Arial"/>
        </w:rPr>
        <w:t>__________________________________</w:t>
      </w:r>
    </w:p>
    <w:p w14:paraId="5E345A2C" w14:textId="7CCB9AB9" w:rsidR="007D7481" w:rsidRDefault="00AA7855" w:rsidP="007D7481">
      <w:pPr>
        <w:ind w:hanging="2"/>
        <w:jc w:val="center"/>
        <w:rPr>
          <w:rFonts w:eastAsia="Merriweather"/>
        </w:rPr>
      </w:pPr>
      <w:r>
        <w:rPr>
          <w:rFonts w:eastAsia="Merriweather"/>
        </w:rPr>
        <w:t xml:space="preserve">FERNANDA DO CARMO DA SILVEIRA </w:t>
      </w:r>
    </w:p>
    <w:p w14:paraId="326E9680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Merriweather"/>
        </w:rPr>
      </w:pPr>
    </w:p>
    <w:p w14:paraId="57907BFF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Merriweather"/>
        </w:rPr>
      </w:pPr>
    </w:p>
    <w:p w14:paraId="5CF1DB1F" w14:textId="28084BE6" w:rsidR="001F3007" w:rsidRPr="002735D9" w:rsidRDefault="001F3007" w:rsidP="001F3007">
      <w:pPr>
        <w:spacing w:line="360" w:lineRule="auto"/>
        <w:ind w:hanging="2"/>
        <w:rPr>
          <w:rFonts w:eastAsia="Arial"/>
        </w:rPr>
      </w:pPr>
      <w:proofErr w:type="spellStart"/>
      <w:r w:rsidRPr="002735D9">
        <w:rPr>
          <w:rFonts w:eastAsia="Merriweather"/>
        </w:rPr>
        <w:t>Obs</w:t>
      </w:r>
      <w:proofErr w:type="spellEnd"/>
      <w:r w:rsidRPr="002735D9">
        <w:rPr>
          <w:rFonts w:eastAsia="Merriweather"/>
        </w:rPr>
        <w:t xml:space="preserve">: preenchido apenas a parte que se refere </w:t>
      </w:r>
      <w:r w:rsidR="00AA7855">
        <w:rPr>
          <w:rFonts w:eastAsia="Merriweather"/>
        </w:rPr>
        <w:t>a fase inicial do processo</w:t>
      </w:r>
      <w:r w:rsidRPr="002735D9">
        <w:rPr>
          <w:rFonts w:eastAsia="Merriweather"/>
        </w:rPr>
        <w:t xml:space="preserve">, considerando ainda que não foi possível indicar as páginas, </w:t>
      </w:r>
      <w:r w:rsidR="00AA7855">
        <w:rPr>
          <w:rFonts w:eastAsia="Merriweather"/>
        </w:rPr>
        <w:t>pois a enumeração não se dá no início do processo.</w:t>
      </w:r>
    </w:p>
    <w:p w14:paraId="68C297CA" w14:textId="77777777" w:rsidR="00C3510F" w:rsidRPr="002735D9" w:rsidRDefault="00C3510F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sectPr w:rsidR="00C3510F" w:rsidRPr="002735D9" w:rsidSect="00B7665D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04044" w14:textId="77777777" w:rsidR="00082AEE" w:rsidRDefault="00082AEE">
      <w:r>
        <w:separator/>
      </w:r>
    </w:p>
  </w:endnote>
  <w:endnote w:type="continuationSeparator" w:id="0">
    <w:p w14:paraId="2E06E777" w14:textId="77777777" w:rsidR="00082AEE" w:rsidRDefault="0008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82BE" w14:textId="77777777" w:rsidR="00F851F8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F851F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E3F37" w14:textId="77777777" w:rsidR="00082AEE" w:rsidRDefault="00082AEE">
      <w:r>
        <w:separator/>
      </w:r>
    </w:p>
  </w:footnote>
  <w:footnote w:type="continuationSeparator" w:id="0">
    <w:p w14:paraId="34AAE715" w14:textId="77777777" w:rsidR="00082AEE" w:rsidRDefault="0008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F851F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F851F8" w:rsidRPr="003A0AD4" w:rsidRDefault="00F851F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" fillcolor="white [3201]" strokecolor="white [3212]" strokeweight=".5pt">
                    <v:textbox>
                      <w:txbxContent>
                        <w:p w14:paraId="35B687CD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F851F8" w:rsidRPr="003A0AD4" w:rsidRDefault="00F851F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 o:ole="">
                <v:imagedata r:id="rId1" o:title=""/>
              </v:shape>
              <o:OLEObject Type="Embed" ProgID="PBrush" ShapeID="_x0000_i1025" DrawAspect="Content" ObjectID="_1804573290" r:id="rId2"/>
            </w:object>
          </w:r>
        </w:p>
        <w:p w14:paraId="46EEFBD4" w14:textId="77777777" w:rsidR="00F851F8" w:rsidRDefault="00F851F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F851F8" w:rsidRPr="00C32302" w:rsidRDefault="00F851F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F851F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F851F8" w:rsidRDefault="00F851F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" o:allowincell="f" stroked="f" strokeweight="0">
              <v:textbox style="mso-fit-shape-to-text:t" inset="0,0,0,0">
                <w:txbxContent>
                  <w:p w14:paraId="7962F01D" w14:textId="77777777" w:rsidR="00F851F8" w:rsidRDefault="00F851F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F851F8" w:rsidRPr="005C7826" w:rsidRDefault="00F851F8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01747"/>
    <w:rsid w:val="00004DBD"/>
    <w:rsid w:val="00082AEE"/>
    <w:rsid w:val="00085A4E"/>
    <w:rsid w:val="00093290"/>
    <w:rsid w:val="000A5AF0"/>
    <w:rsid w:val="0012730E"/>
    <w:rsid w:val="00154A49"/>
    <w:rsid w:val="00194359"/>
    <w:rsid w:val="00197930"/>
    <w:rsid w:val="001A6551"/>
    <w:rsid w:val="001A7F88"/>
    <w:rsid w:val="001F3007"/>
    <w:rsid w:val="00216476"/>
    <w:rsid w:val="002735D9"/>
    <w:rsid w:val="00343233"/>
    <w:rsid w:val="003547D4"/>
    <w:rsid w:val="00370366"/>
    <w:rsid w:val="00375F29"/>
    <w:rsid w:val="003A0AD4"/>
    <w:rsid w:val="003C6511"/>
    <w:rsid w:val="003D0C8E"/>
    <w:rsid w:val="003F757B"/>
    <w:rsid w:val="00426742"/>
    <w:rsid w:val="004A2DCE"/>
    <w:rsid w:val="004D10F2"/>
    <w:rsid w:val="00534DEC"/>
    <w:rsid w:val="00550F26"/>
    <w:rsid w:val="00562FF9"/>
    <w:rsid w:val="00571BB1"/>
    <w:rsid w:val="00577059"/>
    <w:rsid w:val="00591FFF"/>
    <w:rsid w:val="005B242F"/>
    <w:rsid w:val="005D1C52"/>
    <w:rsid w:val="0062685E"/>
    <w:rsid w:val="00644F7F"/>
    <w:rsid w:val="0066136E"/>
    <w:rsid w:val="006673E6"/>
    <w:rsid w:val="006829FA"/>
    <w:rsid w:val="00690CBC"/>
    <w:rsid w:val="006B139C"/>
    <w:rsid w:val="006F4AB3"/>
    <w:rsid w:val="00723320"/>
    <w:rsid w:val="00733392"/>
    <w:rsid w:val="007520A5"/>
    <w:rsid w:val="007559A5"/>
    <w:rsid w:val="00764604"/>
    <w:rsid w:val="007B437C"/>
    <w:rsid w:val="007B7754"/>
    <w:rsid w:val="007D7481"/>
    <w:rsid w:val="007D7920"/>
    <w:rsid w:val="008129F6"/>
    <w:rsid w:val="008226D9"/>
    <w:rsid w:val="00827CEA"/>
    <w:rsid w:val="00830D94"/>
    <w:rsid w:val="0087760F"/>
    <w:rsid w:val="00885F36"/>
    <w:rsid w:val="008B1FEC"/>
    <w:rsid w:val="008E36F7"/>
    <w:rsid w:val="008F5683"/>
    <w:rsid w:val="0090716C"/>
    <w:rsid w:val="00926CC3"/>
    <w:rsid w:val="009829B8"/>
    <w:rsid w:val="009A73E1"/>
    <w:rsid w:val="00A25ADD"/>
    <w:rsid w:val="00A5304D"/>
    <w:rsid w:val="00AA7855"/>
    <w:rsid w:val="00B023B0"/>
    <w:rsid w:val="00B27C39"/>
    <w:rsid w:val="00B3652A"/>
    <w:rsid w:val="00B446FF"/>
    <w:rsid w:val="00B7665D"/>
    <w:rsid w:val="00B811B1"/>
    <w:rsid w:val="00B96081"/>
    <w:rsid w:val="00B96FEE"/>
    <w:rsid w:val="00C32DDA"/>
    <w:rsid w:val="00C3510F"/>
    <w:rsid w:val="00C42082"/>
    <w:rsid w:val="00C46C55"/>
    <w:rsid w:val="00C56F38"/>
    <w:rsid w:val="00CB681E"/>
    <w:rsid w:val="00CE7A2E"/>
    <w:rsid w:val="00CF3357"/>
    <w:rsid w:val="00D13AA6"/>
    <w:rsid w:val="00D30244"/>
    <w:rsid w:val="00D36A57"/>
    <w:rsid w:val="00D52AB1"/>
    <w:rsid w:val="00D65D00"/>
    <w:rsid w:val="00D8520C"/>
    <w:rsid w:val="00DB247D"/>
    <w:rsid w:val="00DB6FC8"/>
    <w:rsid w:val="00DC6FB7"/>
    <w:rsid w:val="00DD0A56"/>
    <w:rsid w:val="00E2687E"/>
    <w:rsid w:val="00E75330"/>
    <w:rsid w:val="00E94C06"/>
    <w:rsid w:val="00F04A63"/>
    <w:rsid w:val="00F72C34"/>
    <w:rsid w:val="00F851F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1310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7</cp:revision>
  <cp:lastPrinted>2025-03-27T12:35:00Z</cp:lastPrinted>
  <dcterms:created xsi:type="dcterms:W3CDTF">2025-02-24T17:52:00Z</dcterms:created>
  <dcterms:modified xsi:type="dcterms:W3CDTF">2025-03-27T12:35:00Z</dcterms:modified>
</cp:coreProperties>
</file>