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8FBF" w14:textId="77777777" w:rsidR="002A694A" w:rsidRPr="00D24933" w:rsidRDefault="00F57EC5" w:rsidP="00D24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eastAsia="Merriweather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873A8F" wp14:editId="1ADE70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AutoShape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="">
            <w:pict>
              <v:rect w14:anchorId="76E10E8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PSVgIAAKw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tCHz0lYCAACsBAAADgAAAAAAAAAAAAAAAAAuAgAAZHJzL2Uyb0RvYy54bWxQSwECLQAUAAYA&#10;CAAAACEAhluH1dgAAAAFAQAADwAAAAAAAAAAAAAAAACwBAAAZHJzL2Rvd25yZXYueG1sUEsFBgAA&#10;AAAEAAQA8wAAALUFAAAAAA==&#10;" filled="f" stroked="f">
                <o:lock v:ext="edit" aspectratio="t" selection="t"/>
              </v:rect>
            </w:pict>
          </mc:Fallback>
        </mc:AlternateContent>
      </w:r>
      <w:r w:rsidR="000B0F00" w:rsidRPr="00D24933">
        <w:rPr>
          <w:rFonts w:eastAsia="Merriweather"/>
          <w:b/>
          <w:sz w:val="36"/>
          <w:szCs w:val="36"/>
          <w:u w:val="single"/>
        </w:rPr>
        <w:t>TERMO DE REFERÊNCIA</w:t>
      </w:r>
    </w:p>
    <w:p w14:paraId="2F3F66E8" w14:textId="3413BB04" w:rsidR="002A694A" w:rsidRDefault="000B0F00" w:rsidP="00D24933">
      <w:pPr>
        <w:spacing w:line="360" w:lineRule="auto"/>
        <w:ind w:left="0" w:hanging="2"/>
        <w:jc w:val="center"/>
        <w:rPr>
          <w:rFonts w:eastAsia="Merriweather"/>
          <w:b/>
          <w:sz w:val="20"/>
          <w:szCs w:val="20"/>
        </w:rPr>
      </w:pPr>
      <w:r w:rsidRPr="00D24933">
        <w:rPr>
          <w:rFonts w:eastAsia="Merriweather"/>
          <w:b/>
        </w:rPr>
        <w:t xml:space="preserve">PROCESSO ADMINISTRATIVO Nº. </w:t>
      </w:r>
      <w:r w:rsidR="004E3FE5">
        <w:rPr>
          <w:rFonts w:eastAsia="Merriweather"/>
          <w:b/>
        </w:rPr>
        <w:t>127</w:t>
      </w:r>
      <w:r w:rsidRPr="00D24933">
        <w:rPr>
          <w:rFonts w:eastAsia="Merriweather"/>
          <w:b/>
        </w:rPr>
        <w:t>/202</w:t>
      </w:r>
      <w:r w:rsidR="004E3FE5">
        <w:rPr>
          <w:rFonts w:eastAsia="Merriweather"/>
          <w:b/>
        </w:rPr>
        <w:t>5</w:t>
      </w:r>
      <w:r w:rsidRPr="00D24933">
        <w:rPr>
          <w:rFonts w:eastAsia="Merriweather"/>
          <w:b/>
          <w:sz w:val="20"/>
          <w:szCs w:val="20"/>
        </w:rPr>
        <w:t>.</w:t>
      </w:r>
    </w:p>
    <w:p w14:paraId="2E5BA7ED" w14:textId="77777777" w:rsidR="00667D4E" w:rsidRPr="00D24933" w:rsidRDefault="00667D4E" w:rsidP="00D24933">
      <w:pPr>
        <w:spacing w:line="360" w:lineRule="auto"/>
        <w:ind w:left="0" w:hanging="2"/>
        <w:jc w:val="center"/>
        <w:rPr>
          <w:rFonts w:eastAsia="Merriweather"/>
          <w:b/>
          <w:sz w:val="20"/>
          <w:szCs w:val="20"/>
        </w:rPr>
      </w:pPr>
    </w:p>
    <w:p w14:paraId="0D45FA2E" w14:textId="77777777" w:rsidR="002A694A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1.CONDIÇÕES GERAIS DA CONTRATAÇÃO</w:t>
      </w:r>
    </w:p>
    <w:p w14:paraId="509B6A56" w14:textId="77777777" w:rsidR="007A1C21" w:rsidRPr="00D24933" w:rsidRDefault="007A1C21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754B44D9" w14:textId="68F5DF8C" w:rsidR="00B57283" w:rsidRDefault="00661853" w:rsidP="00B57283">
      <w:pPr>
        <w:spacing w:line="276" w:lineRule="auto"/>
        <w:ind w:left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</w:rPr>
        <w:t>1.1</w:t>
      </w:r>
      <w:r w:rsidR="007A1C21">
        <w:rPr>
          <w:rFonts w:eastAsia="Merriweather"/>
        </w:rPr>
        <w:t xml:space="preserve"> OBJETO: </w:t>
      </w:r>
      <w:bookmarkStart w:id="0" w:name="_Hlk203744392"/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 xml:space="preserve">CONTRATAÇÃO DE </w:t>
      </w:r>
      <w:r w:rsidR="00B57283">
        <w:rPr>
          <w:rFonts w:eastAsia="Merriweather"/>
          <w:b/>
          <w:color w:val="000000" w:themeColor="text1"/>
          <w:sz w:val="22"/>
          <w:szCs w:val="22"/>
        </w:rPr>
        <w:t>PESSOA JURIDICA PARA FORNECIMENTOS DE SERVIÇOS DE</w:t>
      </w:r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 xml:space="preserve"> RECAUCHUTAGEM /RECAPAGEM E DE PNEUS PARA FROTA DE VEICULOS PESADO DA </w:t>
      </w:r>
      <w:r w:rsidR="00D30710" w:rsidRPr="00D6123A">
        <w:rPr>
          <w:rFonts w:eastAsia="Merriweather"/>
          <w:b/>
          <w:color w:val="000000" w:themeColor="text1"/>
          <w:sz w:val="22"/>
          <w:szCs w:val="22"/>
        </w:rPr>
        <w:t>FROTA DO</w:t>
      </w:r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 xml:space="preserve"> MUNICIPIO DE BANDEIRANTES-PR</w:t>
      </w:r>
      <w:bookmarkEnd w:id="0"/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29A30C88" w14:textId="77777777" w:rsidR="007A4998" w:rsidRDefault="007A4998" w:rsidP="00B57283">
      <w:pPr>
        <w:spacing w:line="276" w:lineRule="auto"/>
        <w:ind w:left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0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712"/>
        <w:gridCol w:w="708"/>
        <w:gridCol w:w="4111"/>
        <w:gridCol w:w="567"/>
        <w:gridCol w:w="1276"/>
        <w:gridCol w:w="1984"/>
      </w:tblGrid>
      <w:tr w:rsidR="003F4490" w:rsidRPr="0041602F" w14:paraId="54DD73D5" w14:textId="77777777" w:rsidTr="00884177">
        <w:trPr>
          <w:trHeight w:val="495"/>
          <w:jc w:val="center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A158243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ITEM</w:t>
            </w:r>
          </w:p>
        </w:tc>
        <w:tc>
          <w:tcPr>
            <w:tcW w:w="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63347FE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CATMAT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5D944C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</w:rPr>
              <w:t>UND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0EE3DA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 xml:space="preserve">DESCRIÇÃO DO ITEM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B47FD89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QTD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D6345C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</w:rPr>
              <w:t>VALOR UNITÁRIO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A35AC1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</w:rPr>
              <w:t>VALOR TOTAL</w:t>
            </w:r>
          </w:p>
        </w:tc>
      </w:tr>
      <w:tr w:rsidR="003F4490" w:rsidRPr="0041602F" w14:paraId="1CAE2E47" w14:textId="77777777" w:rsidTr="00884177">
        <w:trPr>
          <w:trHeight w:val="602"/>
          <w:jc w:val="center"/>
        </w:trPr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1846D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21F78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F837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SERVIÇO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58239B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RESSOLAGEM PNEU 1400x24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AD20C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3738B6A8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  <w:t xml:space="preserve"> R$ 2.173,88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40987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 xml:space="preserve"> R$ 21.738,80 </w:t>
            </w:r>
          </w:p>
        </w:tc>
      </w:tr>
      <w:tr w:rsidR="003F4490" w:rsidRPr="0041602F" w14:paraId="4DE78D38" w14:textId="77777777" w:rsidTr="00884177">
        <w:trPr>
          <w:trHeight w:val="539"/>
          <w:jc w:val="center"/>
        </w:trPr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2100A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E3CF4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53701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SERVIÇO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6BFD72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RESSOLAGEM PNEU 17,5X25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707AF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Cs/>
                <w:color w:val="000000" w:themeColor="text1"/>
                <w:position w:val="0"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B1E956D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  <w:t xml:space="preserve"> R$ 2.975,60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729B2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 xml:space="preserve"> R$ 11.902,40 </w:t>
            </w:r>
          </w:p>
        </w:tc>
      </w:tr>
      <w:tr w:rsidR="003F4490" w:rsidRPr="0041602F" w14:paraId="531FADDE" w14:textId="77777777" w:rsidTr="00884177">
        <w:trPr>
          <w:trHeight w:val="561"/>
          <w:jc w:val="center"/>
        </w:trPr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18B6A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E34D3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Cs/>
                <w:color w:val="000000" w:themeColor="text1"/>
                <w:position w:val="0"/>
                <w:sz w:val="12"/>
                <w:szCs w:val="12"/>
              </w:rPr>
              <w:t>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D8242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SERVIÇO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2ADE57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RESSOLAGEM PNEU19,5X24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08A92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Cs/>
                <w:color w:val="000000" w:themeColor="text1"/>
                <w:position w:val="0"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5F0CA26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  <w:t xml:space="preserve"> R$ 2.888,88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7D5BF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 xml:space="preserve"> R$ 11.555,52 </w:t>
            </w:r>
          </w:p>
        </w:tc>
      </w:tr>
      <w:tr w:rsidR="003F4490" w:rsidRPr="0041602F" w14:paraId="69BC5D41" w14:textId="77777777" w:rsidTr="00884177">
        <w:trPr>
          <w:trHeight w:val="541"/>
          <w:jc w:val="center"/>
        </w:trPr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E014F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4E29C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Cs/>
                <w:color w:val="000000" w:themeColor="text1"/>
                <w:position w:val="0"/>
                <w:sz w:val="12"/>
                <w:szCs w:val="12"/>
              </w:rPr>
              <w:t>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622E9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SERVIÇO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861861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 w:themeColor="text1"/>
                <w:position w:val="0"/>
                <w:sz w:val="12"/>
                <w:szCs w:val="12"/>
              </w:rPr>
              <w:t>RESSOLAGEM PNEU 12.5/80X18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20738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Cs/>
                <w:color w:val="000000" w:themeColor="text1"/>
                <w:position w:val="0"/>
                <w:sz w:val="12"/>
                <w:szCs w:val="1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38BBE236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  <w:t xml:space="preserve"> R$ 1.179,51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E1F68E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 xml:space="preserve"> R$ 7.077,06 </w:t>
            </w:r>
          </w:p>
        </w:tc>
      </w:tr>
      <w:tr w:rsidR="003F4490" w:rsidRPr="0041602F" w14:paraId="5BF28EE3" w14:textId="77777777" w:rsidTr="00884177">
        <w:trPr>
          <w:trHeight w:val="535"/>
          <w:jc w:val="center"/>
        </w:trPr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2853D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E7450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0457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SERVIÇO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20714B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</w:rPr>
              <w:t>RESSOLAGEM PNEU 275/80R22,5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73577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CBB13A8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  <w:t xml:space="preserve"> R$ 825,40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E16EF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 xml:space="preserve"> R$ 8.254,00 </w:t>
            </w:r>
          </w:p>
        </w:tc>
      </w:tr>
      <w:tr w:rsidR="003F4490" w:rsidRPr="0041602F" w14:paraId="7C3B7CE2" w14:textId="77777777" w:rsidTr="00884177">
        <w:trPr>
          <w:trHeight w:val="557"/>
          <w:jc w:val="center"/>
        </w:trPr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07FEC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31F7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1912B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SERVIÇO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6B008D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</w:rPr>
              <w:t>RESSOLAGEM PNEU 12X16.5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0A93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3FF6BB8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</w:pPr>
            <w:r w:rsidRPr="0041602F">
              <w:rPr>
                <w:b/>
                <w:bCs/>
                <w:color w:val="000000"/>
                <w:position w:val="0"/>
                <w:sz w:val="12"/>
                <w:szCs w:val="12"/>
                <w:u w:val="single"/>
              </w:rPr>
              <w:t xml:space="preserve"> R$ 943,26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D41BCD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color w:val="000000"/>
                <w:position w:val="0"/>
                <w:sz w:val="12"/>
                <w:szCs w:val="12"/>
              </w:rPr>
              <w:t xml:space="preserve"> R$ 1.886,52 </w:t>
            </w:r>
          </w:p>
        </w:tc>
      </w:tr>
      <w:tr w:rsidR="003F4490" w:rsidRPr="0041602F" w14:paraId="67371C65" w14:textId="77777777" w:rsidTr="00884177">
        <w:trPr>
          <w:trHeight w:val="716"/>
          <w:jc w:val="center"/>
        </w:trPr>
        <w:tc>
          <w:tcPr>
            <w:tcW w:w="101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32DC38" w14:textId="77777777" w:rsidR="003F4490" w:rsidRPr="0041602F" w:rsidRDefault="003F4490" w:rsidP="008841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41602F">
              <w:rPr>
                <w:b/>
                <w:bCs/>
                <w:color w:val="000000"/>
                <w:position w:val="0"/>
                <w:sz w:val="16"/>
                <w:szCs w:val="16"/>
              </w:rPr>
              <w:t>VALOR TOTAL: R$ 62.414,30</w:t>
            </w:r>
          </w:p>
        </w:tc>
      </w:tr>
    </w:tbl>
    <w:p w14:paraId="6F2476CC" w14:textId="77777777" w:rsidR="007A4998" w:rsidRDefault="007A4998" w:rsidP="007A4998">
      <w:pPr>
        <w:spacing w:line="360" w:lineRule="auto"/>
        <w:ind w:left="0" w:hanging="2"/>
        <w:jc w:val="both"/>
        <w:rPr>
          <w:rFonts w:eastAsia="Merriweather"/>
          <w:color w:val="000000"/>
        </w:rPr>
      </w:pPr>
    </w:p>
    <w:p w14:paraId="55E3C793" w14:textId="36A8CD7D" w:rsidR="004422C2" w:rsidRDefault="007A4998" w:rsidP="007A4998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color w:val="000000"/>
        </w:rPr>
        <w:t xml:space="preserve">1.1.1. Valor total do processo R$ </w:t>
      </w:r>
      <w:r w:rsidR="00FC7AD3">
        <w:rPr>
          <w:rFonts w:eastAsia="Merriweather"/>
          <w:color w:val="000000"/>
        </w:rPr>
        <w:t>62.414,30</w:t>
      </w:r>
      <w:r>
        <w:rPr>
          <w:rFonts w:eastAsia="Merriweather"/>
          <w:color w:val="000000"/>
        </w:rPr>
        <w:t xml:space="preserve"> (</w:t>
      </w:r>
      <w:r w:rsidR="00FC7AD3">
        <w:t>Sessenta e dois mil, quatrocentos e quatorze reais e trinta centavos.</w:t>
      </w:r>
      <w:r>
        <w:rPr>
          <w:rFonts w:eastAsia="Merriweather"/>
          <w:color w:val="000000"/>
        </w:rPr>
        <w:t>).</w:t>
      </w:r>
    </w:p>
    <w:p w14:paraId="6DA5C6E4" w14:textId="77777777"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1.</w:t>
      </w:r>
      <w:r w:rsidR="004B081B">
        <w:rPr>
          <w:rFonts w:eastAsia="Merriweather"/>
        </w:rPr>
        <w:t>2</w:t>
      </w:r>
      <w:r w:rsidRPr="00D24933">
        <w:rPr>
          <w:rFonts w:eastAsia="Merriweather"/>
        </w:rPr>
        <w:t>.Os bens</w:t>
      </w:r>
      <w:r w:rsidR="00486D12">
        <w:rPr>
          <w:rFonts w:eastAsia="Merriweather"/>
        </w:rPr>
        <w:t xml:space="preserve"> e serviços</w:t>
      </w:r>
      <w:r w:rsidRPr="00D24933">
        <w:rPr>
          <w:rFonts w:eastAsia="Merriweather"/>
        </w:rPr>
        <w:t xml:space="preserve"> objeto desta contratação são caracterizados como comuns</w:t>
      </w:r>
      <w:r w:rsidR="006366D9">
        <w:rPr>
          <w:rFonts w:eastAsia="Merriweather"/>
        </w:rPr>
        <w:t>.</w:t>
      </w:r>
    </w:p>
    <w:p w14:paraId="0BCBFFC8" w14:textId="77777777" w:rsidR="005A3215" w:rsidRPr="00D24933" w:rsidRDefault="005A3215" w:rsidP="007A4998">
      <w:pPr>
        <w:spacing w:line="360" w:lineRule="auto"/>
        <w:ind w:leftChars="0" w:left="0" w:firstLineChars="0" w:firstLine="0"/>
        <w:jc w:val="both"/>
        <w:rPr>
          <w:rFonts w:eastAsia="Merriweather"/>
          <w:sz w:val="16"/>
          <w:szCs w:val="16"/>
        </w:rPr>
      </w:pPr>
      <w:r>
        <w:rPr>
          <w:rFonts w:eastAsia="Merriweather"/>
        </w:rPr>
        <w:t xml:space="preserve">1.2.1. </w:t>
      </w:r>
      <w:r w:rsidRPr="005A3215">
        <w:rPr>
          <w:rFonts w:eastAsia="Merriweather"/>
        </w:rPr>
        <w:t>Os serviços a serem contratados podem ser classificados como comuns, haja vista possuírem especificações usuais de mercado e padrões de qualidade passíveis de definição em Edital, conforme estabelece o inciso XIII do art. 6º da Lei Federal n.º 14.133, de 2021, sendo</w:t>
      </w:r>
      <w:r w:rsidR="0033409E">
        <w:rPr>
          <w:rFonts w:eastAsia="Merriweather"/>
        </w:rPr>
        <w:t xml:space="preserve"> </w:t>
      </w:r>
      <w:r w:rsidRPr="005A3215">
        <w:rPr>
          <w:rFonts w:eastAsia="Merriweather"/>
        </w:rPr>
        <w:t>classificados como serviços não contínuos, aqueles que impõem ao contratado o dever de realizar a prestação de</w:t>
      </w:r>
      <w:r w:rsidR="005E5BE1">
        <w:rPr>
          <w:rFonts w:eastAsia="Merriweather"/>
        </w:rPr>
        <w:t xml:space="preserve"> </w:t>
      </w:r>
      <w:r w:rsidRPr="005A3215">
        <w:rPr>
          <w:rFonts w:eastAsia="Merriweather"/>
        </w:rPr>
        <w:t xml:space="preserve">um serviço específico em período </w:t>
      </w:r>
      <w:r w:rsidR="005E5BE1">
        <w:rPr>
          <w:rFonts w:eastAsia="Merriweather"/>
        </w:rPr>
        <w:t>pre</w:t>
      </w:r>
      <w:r w:rsidRPr="005A3215">
        <w:rPr>
          <w:rFonts w:eastAsia="Merriweather"/>
        </w:rPr>
        <w:t>determinado, podendo ser prorrogado, desde que justificadamente, pelo prazo necessário à conclusão do objeto.</w:t>
      </w:r>
    </w:p>
    <w:p w14:paraId="2C206550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1.</w:t>
      </w:r>
      <w:r w:rsidR="004B081B">
        <w:rPr>
          <w:rFonts w:eastAsia="Merriweather"/>
        </w:rPr>
        <w:t>3</w:t>
      </w:r>
      <w:r w:rsidRPr="00D24933">
        <w:rPr>
          <w:rFonts w:eastAsia="Merriweather"/>
        </w:rPr>
        <w:t xml:space="preserve">.O prazo de vigência da contratação é de </w:t>
      </w:r>
      <w:r w:rsidR="00F736C6">
        <w:rPr>
          <w:rFonts w:eastAsia="Merriweather"/>
        </w:rPr>
        <w:t>365 (trezentos e sessenta e cinco</w:t>
      </w:r>
      <w:r w:rsidR="004B081B">
        <w:rPr>
          <w:rFonts w:eastAsia="Merriweather"/>
        </w:rPr>
        <w:t>) dias, contados a partir da publicação da ratificação do processo, no Diário Oficial do Município.</w:t>
      </w:r>
    </w:p>
    <w:p w14:paraId="71DB76BD" w14:textId="77777777" w:rsidR="00D24933" w:rsidRPr="00D24933" w:rsidRDefault="00D24933" w:rsidP="00D24933">
      <w:pPr>
        <w:spacing w:line="360" w:lineRule="auto"/>
        <w:ind w:left="0" w:hanging="2"/>
        <w:jc w:val="both"/>
        <w:rPr>
          <w:rFonts w:eastAsia="Merriweather"/>
        </w:rPr>
      </w:pPr>
    </w:p>
    <w:p w14:paraId="0B673835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lastRenderedPageBreak/>
        <w:t>2.FUNDAMENTAÇÃO E DESCRIÇÃO DA NECESSIDADE DA CONTRATAÇÃO</w:t>
      </w:r>
    </w:p>
    <w:p w14:paraId="75C77C8C" w14:textId="13C6101D" w:rsidR="00B61570" w:rsidRPr="00D30710" w:rsidRDefault="000B0F00" w:rsidP="00D30710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D24933">
        <w:rPr>
          <w:rFonts w:eastAsia="Merriweather"/>
        </w:rPr>
        <w:t>2.</w:t>
      </w:r>
      <w:r w:rsidRPr="00B61570">
        <w:rPr>
          <w:rFonts w:eastAsia="Merriweather"/>
        </w:rPr>
        <w:t>1</w:t>
      </w:r>
      <w:r w:rsidR="00EC348B">
        <w:rPr>
          <w:rFonts w:eastAsia="Merriweather"/>
        </w:rPr>
        <w:t xml:space="preserve"> </w:t>
      </w:r>
      <w:r w:rsidR="00B61570" w:rsidRPr="00D30710">
        <w:rPr>
          <w:rFonts w:eastAsia="Merriweather"/>
        </w:rPr>
        <w:t>Os bens objeto desta contratação são caracterizados como comuns, conforme</w:t>
      </w:r>
      <w:r w:rsidR="00D30710">
        <w:rPr>
          <w:rFonts w:eastAsia="Merriweather"/>
        </w:rPr>
        <w:t xml:space="preserve"> </w:t>
      </w:r>
      <w:r w:rsidR="00B61570" w:rsidRPr="00D30710">
        <w:rPr>
          <w:rFonts w:eastAsia="Merriweather"/>
        </w:rPr>
        <w:t>justificativa descrita no Estudo Técnico Preliminar.</w:t>
      </w:r>
    </w:p>
    <w:p w14:paraId="44C5D1AD" w14:textId="2456A144" w:rsidR="0037634B" w:rsidRDefault="00B61570" w:rsidP="00D30710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D30710">
        <w:rPr>
          <w:rFonts w:eastAsia="Merriweather"/>
        </w:rPr>
        <w:t>O quantitativo mencionado acima é estimado com base na demanda, não gerando</w:t>
      </w:r>
      <w:r w:rsidR="00D30710">
        <w:rPr>
          <w:rFonts w:eastAsia="Merriweather"/>
        </w:rPr>
        <w:t xml:space="preserve"> </w:t>
      </w:r>
      <w:r w:rsidRPr="00D30710">
        <w:rPr>
          <w:rFonts w:eastAsia="Merriweather"/>
        </w:rPr>
        <w:t>obrigação da Contratante de execução total durante a vigência do contrato. O quantitativo foi</w:t>
      </w:r>
      <w:r w:rsidR="00D30710">
        <w:rPr>
          <w:rFonts w:eastAsia="Merriweather"/>
        </w:rPr>
        <w:t xml:space="preserve"> </w:t>
      </w:r>
      <w:r w:rsidRPr="00D30710">
        <w:rPr>
          <w:rFonts w:eastAsia="Merriweather"/>
        </w:rPr>
        <w:t>definido apenas para limitar e dimensionar a proposta dos licitantes</w:t>
      </w:r>
      <w:r w:rsidR="00D30710" w:rsidRPr="00D30710">
        <w:rPr>
          <w:rFonts w:eastAsia="Merriweather"/>
        </w:rPr>
        <w:t>.</w:t>
      </w:r>
    </w:p>
    <w:p w14:paraId="7409A539" w14:textId="77777777" w:rsidR="002A694A" w:rsidRPr="00EC348B" w:rsidRDefault="005E5BE1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 </w:t>
      </w:r>
      <w:r w:rsidR="000B0F00" w:rsidRPr="00D24933">
        <w:rPr>
          <w:rFonts w:eastAsia="Merriweather"/>
        </w:rPr>
        <w:t>2.2.</w:t>
      </w:r>
      <w:r w:rsidR="000B0F00" w:rsidRPr="00EC348B">
        <w:rPr>
          <w:rFonts w:eastAsia="Merriweather"/>
        </w:rPr>
        <w:t>O objeto da contratação</w:t>
      </w:r>
      <w:r w:rsidR="00677578" w:rsidRPr="00EC348B">
        <w:rPr>
          <w:rFonts w:eastAsia="Merriweather"/>
        </w:rPr>
        <w:t xml:space="preserve"> </w:t>
      </w:r>
      <w:r w:rsidR="000B0F00" w:rsidRPr="00EC348B">
        <w:rPr>
          <w:rFonts w:eastAsia="Merriweather"/>
        </w:rPr>
        <w:t xml:space="preserve">está previsto no Plano de Contratações Anual </w:t>
      </w:r>
      <w:r w:rsidR="006366D9" w:rsidRPr="00EC348B">
        <w:rPr>
          <w:rFonts w:eastAsia="Merriweather"/>
        </w:rPr>
        <w:t>202</w:t>
      </w:r>
      <w:r w:rsidR="00A46C3D" w:rsidRPr="00EC348B">
        <w:rPr>
          <w:rFonts w:eastAsia="Merriweather"/>
        </w:rPr>
        <w:t>5</w:t>
      </w:r>
      <w:r w:rsidR="000B0F00" w:rsidRPr="00EC348B">
        <w:rPr>
          <w:rFonts w:eastAsia="Merriweather"/>
        </w:rPr>
        <w:t xml:space="preserve">, </w:t>
      </w:r>
      <w:r w:rsidR="00921084" w:rsidRPr="00EC348B">
        <w:rPr>
          <w:rFonts w:eastAsia="Merriweather"/>
        </w:rPr>
        <w:t xml:space="preserve">publicado no Diário Oficial do Município de Bandeirantes, Edição nº </w:t>
      </w:r>
      <w:r w:rsidR="0003273D" w:rsidRPr="00EC348B">
        <w:rPr>
          <w:rFonts w:eastAsia="Merriweather"/>
        </w:rPr>
        <w:t>1003, Ano 2025</w:t>
      </w:r>
      <w:r w:rsidR="00EC348B" w:rsidRPr="00EC348B">
        <w:rPr>
          <w:rFonts w:eastAsia="Merriweather"/>
        </w:rPr>
        <w:t>, Páginas 24,39,48 e 156</w:t>
      </w:r>
      <w:r w:rsidR="00921084" w:rsidRPr="00EC348B">
        <w:rPr>
          <w:rFonts w:eastAsia="Merriweather"/>
        </w:rPr>
        <w:t xml:space="preserve"> de </w:t>
      </w:r>
      <w:r w:rsidR="00EC348B" w:rsidRPr="00EC348B">
        <w:rPr>
          <w:rFonts w:eastAsia="Merriweather"/>
        </w:rPr>
        <w:t>216</w:t>
      </w:r>
      <w:r w:rsidR="00921084" w:rsidRPr="00EC348B">
        <w:rPr>
          <w:rFonts w:eastAsia="Merriweather"/>
        </w:rPr>
        <w:t xml:space="preserve">, na data de </w:t>
      </w:r>
      <w:r w:rsidR="00363A60" w:rsidRPr="00EC348B">
        <w:rPr>
          <w:rFonts w:eastAsia="Merriweather"/>
        </w:rPr>
        <w:t>06 de Março de 2025.</w:t>
      </w:r>
      <w:r w:rsidR="00EC348B">
        <w:rPr>
          <w:rFonts w:eastAsia="Merriweathe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147192" w14:textId="77777777" w:rsidR="004713C7" w:rsidRPr="00E11890" w:rsidRDefault="004713C7" w:rsidP="00D24933">
      <w:pPr>
        <w:spacing w:line="360" w:lineRule="auto"/>
        <w:ind w:left="0" w:hanging="2"/>
        <w:jc w:val="both"/>
        <w:rPr>
          <w:rFonts w:eastAsia="Merriweather"/>
          <w:color w:val="000000" w:themeColor="text1"/>
        </w:rPr>
      </w:pPr>
    </w:p>
    <w:p w14:paraId="7855BD3C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3.DESCRIÇÃO DA SOLUÇÃO COMO UM TODO CONSIDERADO O CICLO DE VIDA DO OBJETO E ESPECIFICAÇÃO DO PRODUTO</w:t>
      </w:r>
    </w:p>
    <w:p w14:paraId="0C49A6C7" w14:textId="18178130" w:rsidR="0094280A" w:rsidRPr="0094280A" w:rsidRDefault="006366D9" w:rsidP="00C55285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szCs w:val="16"/>
        </w:rPr>
        <w:t>3.</w:t>
      </w:r>
      <w:r w:rsidR="0054207B">
        <w:rPr>
          <w:rFonts w:eastAsia="Merriweather"/>
          <w:szCs w:val="16"/>
        </w:rPr>
        <w:t>1</w:t>
      </w:r>
      <w:r>
        <w:rPr>
          <w:rFonts w:eastAsia="Merriweather"/>
          <w:szCs w:val="16"/>
        </w:rPr>
        <w:t xml:space="preserve">. </w:t>
      </w:r>
      <w:r w:rsidR="00C55285">
        <w:rPr>
          <w:rFonts w:eastAsia="Merriweather"/>
          <w:szCs w:val="16"/>
        </w:rPr>
        <w:t>A descrição da solução como um todo encontra-se pormenorizada em tópico especifico do</w:t>
      </w:r>
      <w:r w:rsidR="00D30710">
        <w:rPr>
          <w:rFonts w:eastAsia="Merriweather"/>
          <w:szCs w:val="16"/>
        </w:rPr>
        <w:t>s Estudos Técnicos Preliminares</w:t>
      </w:r>
      <w:r w:rsidR="00C55285">
        <w:rPr>
          <w:rFonts w:eastAsia="Merriweather"/>
          <w:szCs w:val="16"/>
        </w:rPr>
        <w:t xml:space="preserve">, apêndice deste Termo de </w:t>
      </w:r>
      <w:r w:rsidR="00EC348B">
        <w:rPr>
          <w:rFonts w:eastAsia="Merriweather"/>
          <w:szCs w:val="16"/>
        </w:rPr>
        <w:t>Referência</w:t>
      </w:r>
      <w:r w:rsidR="00C55285">
        <w:rPr>
          <w:rFonts w:eastAsia="Merriweather"/>
          <w:szCs w:val="16"/>
        </w:rPr>
        <w:t>.</w:t>
      </w:r>
    </w:p>
    <w:p w14:paraId="008FDD10" w14:textId="77777777" w:rsidR="00E84AF9" w:rsidRDefault="00E84AF9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2A206E34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D24933">
        <w:rPr>
          <w:rFonts w:eastAsia="Merriweather"/>
          <w:b/>
        </w:rPr>
        <w:t>4.REQUISITOS DA CONTRATAÇÃO</w:t>
      </w:r>
    </w:p>
    <w:p w14:paraId="39308DFE" w14:textId="77777777" w:rsidR="00C0651C" w:rsidRPr="00D24933" w:rsidRDefault="00C0651C" w:rsidP="00C0651C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Sustentabilidade:</w:t>
      </w:r>
    </w:p>
    <w:p w14:paraId="4AFBF4F1" w14:textId="36BA71F9" w:rsidR="00921084" w:rsidRPr="00921084" w:rsidRDefault="00C0651C" w:rsidP="00C226BA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</w:rPr>
      </w:pPr>
      <w:r w:rsidRPr="00921084">
        <w:rPr>
          <w:rFonts w:eastAsia="Merriweather"/>
          <w:color w:val="000000" w:themeColor="text1"/>
        </w:rPr>
        <w:t>4.1</w:t>
      </w:r>
      <w:r w:rsidRPr="00A46C3D">
        <w:rPr>
          <w:rFonts w:eastAsia="Merriweather"/>
          <w:color w:val="000000" w:themeColor="text1"/>
        </w:rPr>
        <w:t>.</w:t>
      </w:r>
      <w:r w:rsidR="00A46C3D" w:rsidRPr="00A46C3D">
        <w:rPr>
          <w:position w:val="0"/>
        </w:rPr>
        <w:t xml:space="preserve"> Os critérios de sustentabilidade são aqueles previstos nos Estudos</w:t>
      </w:r>
      <w:r w:rsidR="007A4998">
        <w:rPr>
          <w:position w:val="0"/>
        </w:rPr>
        <w:t xml:space="preserve"> </w:t>
      </w:r>
      <w:r w:rsidR="00A46C3D" w:rsidRPr="00A46C3D">
        <w:rPr>
          <w:position w:val="0"/>
        </w:rPr>
        <w:t>Técnicos Preliminares, nas especificações do objeto e/ou obrigações da contratada e/ou</w:t>
      </w:r>
      <w:r w:rsidR="007A4998">
        <w:rPr>
          <w:position w:val="0"/>
        </w:rPr>
        <w:t xml:space="preserve"> </w:t>
      </w:r>
      <w:r w:rsidR="00A46C3D" w:rsidRPr="00A46C3D">
        <w:rPr>
          <w:position w:val="0"/>
        </w:rPr>
        <w:t>no edital como requisito previsto em lei especial, bem como Guia Nacional de Contratações</w:t>
      </w:r>
      <w:r w:rsidR="007A4998">
        <w:rPr>
          <w:position w:val="0"/>
        </w:rPr>
        <w:t xml:space="preserve"> </w:t>
      </w:r>
      <w:r w:rsidR="00A46C3D" w:rsidRPr="00A46C3D">
        <w:rPr>
          <w:position w:val="0"/>
        </w:rPr>
        <w:t>Sustentáveis da Advocacia-Geral da União, disponibilizado pela Consultoria-Geral da União e no</w:t>
      </w:r>
      <w:r w:rsidR="007A4998">
        <w:rPr>
          <w:position w:val="0"/>
        </w:rPr>
        <w:t xml:space="preserve"> </w:t>
      </w:r>
      <w:r w:rsidR="00A46C3D" w:rsidRPr="00A46C3D">
        <w:rPr>
          <w:position w:val="0"/>
        </w:rPr>
        <w:t>site da AGU.</w:t>
      </w:r>
    </w:p>
    <w:p w14:paraId="3EF09698" w14:textId="77777777" w:rsidR="005A3215" w:rsidRDefault="005A3215" w:rsidP="00A46C3D">
      <w:pPr>
        <w:spacing w:line="360" w:lineRule="auto"/>
        <w:ind w:leftChars="0" w:left="0" w:firstLineChars="0" w:firstLine="0"/>
        <w:jc w:val="both"/>
        <w:rPr>
          <w:rFonts w:eastAsia="Merriweather"/>
          <w:b/>
        </w:rPr>
      </w:pPr>
    </w:p>
    <w:p w14:paraId="2ECE2547" w14:textId="77777777" w:rsidR="00C0651C" w:rsidRPr="00B513B2" w:rsidRDefault="00C0651C" w:rsidP="00C0651C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B513B2">
        <w:rPr>
          <w:rFonts w:eastAsia="Merriweather"/>
          <w:b/>
        </w:rPr>
        <w:t>Garantia da contratação</w:t>
      </w:r>
    </w:p>
    <w:p w14:paraId="7A9E5793" w14:textId="593DE8B9" w:rsidR="00C0651C" w:rsidRPr="00C226BA" w:rsidRDefault="00D73607" w:rsidP="00C226BA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 w:rsidRPr="00C226BA">
        <w:rPr>
          <w:position w:val="0"/>
        </w:rPr>
        <w:t>4.2</w:t>
      </w:r>
      <w:r w:rsidR="00C0651C" w:rsidRPr="00C226BA">
        <w:rPr>
          <w:position w:val="0"/>
        </w:rPr>
        <w:t>.</w:t>
      </w:r>
      <w:r w:rsidR="00A46C3D" w:rsidRPr="00C226BA">
        <w:rPr>
          <w:position w:val="0"/>
        </w:rPr>
        <w:t xml:space="preserve"> Não haverá exigência da garantia da contratação dos artigos 96 e seguintes da Lei nº</w:t>
      </w:r>
      <w:r w:rsidR="007A4998" w:rsidRPr="00C226BA">
        <w:rPr>
          <w:position w:val="0"/>
        </w:rPr>
        <w:t xml:space="preserve"> </w:t>
      </w:r>
      <w:r w:rsidR="00A46C3D" w:rsidRPr="00C226BA">
        <w:rPr>
          <w:position w:val="0"/>
        </w:rPr>
        <w:t>14.133, de 2021, pelas razões constantes do Estudo Técnico Preliminar.</w:t>
      </w:r>
    </w:p>
    <w:p w14:paraId="27928FB9" w14:textId="77777777" w:rsidR="00F30B35" w:rsidRDefault="00F30B35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3CA086A5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  <w:b/>
        </w:rPr>
        <w:t>5.MODELO DE EXECUÇÃO DO OBJETO</w:t>
      </w:r>
    </w:p>
    <w:p w14:paraId="755A4AFE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Condições de Entrega</w:t>
      </w:r>
    </w:p>
    <w:p w14:paraId="23FBF76C" w14:textId="77777777" w:rsidR="002A694A" w:rsidRPr="00D24933" w:rsidRDefault="000B0F00" w:rsidP="006366D9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5.1.</w:t>
      </w:r>
      <w:r w:rsidR="00C0651C" w:rsidRPr="00D24933">
        <w:rPr>
          <w:rFonts w:eastAsia="Merriweather"/>
        </w:rPr>
        <w:t xml:space="preserve">O prazo de </w:t>
      </w:r>
      <w:r w:rsidR="00C0651C">
        <w:rPr>
          <w:rFonts w:eastAsia="Merriweather"/>
        </w:rPr>
        <w:t>execução dos serviços</w:t>
      </w:r>
      <w:r w:rsidR="00C0651C" w:rsidRPr="00D24933">
        <w:rPr>
          <w:rFonts w:eastAsia="Merriweather"/>
        </w:rPr>
        <w:t xml:space="preserve"> é de </w:t>
      </w:r>
      <w:r w:rsidR="00266B76">
        <w:rPr>
          <w:rFonts w:eastAsia="Merriweather"/>
        </w:rPr>
        <w:t>30</w:t>
      </w:r>
      <w:r w:rsidR="00C0651C">
        <w:rPr>
          <w:rFonts w:eastAsia="Merriweather"/>
        </w:rPr>
        <w:t xml:space="preserve"> (</w:t>
      </w:r>
      <w:r w:rsidR="00266B76">
        <w:rPr>
          <w:rFonts w:eastAsia="Merriweather"/>
        </w:rPr>
        <w:t>trinta</w:t>
      </w:r>
      <w:r w:rsidR="00C0651C">
        <w:rPr>
          <w:rFonts w:eastAsia="Merriweather"/>
        </w:rPr>
        <w:t xml:space="preserve">) dias, contados </w:t>
      </w:r>
      <w:r w:rsidR="00266B76">
        <w:rPr>
          <w:rFonts w:eastAsia="Merriweather"/>
        </w:rPr>
        <w:t>a partir da publicação da ratificação do processo, no Diário Oficial do Município</w:t>
      </w:r>
      <w:r w:rsidR="006366D9" w:rsidRPr="006366D9">
        <w:rPr>
          <w:rFonts w:eastAsia="Merriweather"/>
        </w:rPr>
        <w:t>.</w:t>
      </w:r>
    </w:p>
    <w:p w14:paraId="144FBB89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lastRenderedPageBreak/>
        <w:t>5.</w:t>
      </w:r>
      <w:r w:rsidR="00C0651C">
        <w:rPr>
          <w:rFonts w:eastAsia="Merriweather"/>
        </w:rPr>
        <w:t>2</w:t>
      </w:r>
      <w:r w:rsidRPr="00D24933">
        <w:rPr>
          <w:rFonts w:eastAsia="Merriweather"/>
        </w:rPr>
        <w:t xml:space="preserve">.Caso não seja possível a entrega na data assinalada, a empresa deverá comunicar as razões respectivas com pelo menos </w:t>
      </w:r>
      <w:r w:rsidR="004B081B">
        <w:rPr>
          <w:rFonts w:eastAsia="Merriweather"/>
        </w:rPr>
        <w:t>5</w:t>
      </w:r>
      <w:r w:rsidR="004D2655">
        <w:rPr>
          <w:rFonts w:eastAsia="Merriweather"/>
        </w:rPr>
        <w:t xml:space="preserve"> (</w:t>
      </w:r>
      <w:r w:rsidR="004B081B">
        <w:rPr>
          <w:rFonts w:eastAsia="Merriweather"/>
        </w:rPr>
        <w:t>cinco</w:t>
      </w:r>
      <w:r w:rsidRPr="00D24933">
        <w:rPr>
          <w:rFonts w:eastAsia="Merriweather"/>
        </w:rPr>
        <w:t>) dias de antecedência para que qualquer pleito de prorrogação de prazo seja analisado, ressalvadas situações de caso fortuito e força maior.</w:t>
      </w:r>
    </w:p>
    <w:p w14:paraId="51DA2D51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 xml:space="preserve">Garantia, manutenção e assistência técnica </w:t>
      </w:r>
    </w:p>
    <w:p w14:paraId="3A095F42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3</w:t>
      </w:r>
      <w:r w:rsidRPr="00D24933">
        <w:rPr>
          <w:rFonts w:eastAsia="Merriweather"/>
        </w:rPr>
        <w:t>.O prazo de garantia é aquele estabelecido na Lei nº 8.078, de 11 de setembro de 1990 (Código de Defesa do Consumidor)</w:t>
      </w:r>
    </w:p>
    <w:p w14:paraId="149830DC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4</w:t>
      </w:r>
      <w:r w:rsidRPr="00D24933">
        <w:rPr>
          <w:rFonts w:eastAsia="Merriweather"/>
        </w:rPr>
        <w:t>.Caso o prazo da garantia oferecida pelo fabricante seja inferior ao estabelecido nesta cláusula, o fornecedor deverá complementar a garantia do bem ofertado pelo período restante.</w:t>
      </w:r>
    </w:p>
    <w:p w14:paraId="2D971F25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5</w:t>
      </w:r>
      <w:r w:rsidRPr="00D24933">
        <w:rPr>
          <w:rFonts w:eastAsia="Merriweather"/>
        </w:rPr>
        <w:t>.A garantia será prestada com vistas a manter os equipamentos fornecidos em perfeitas condições de uso, sem qualquer ônus ou custo adicional para o Contratante.</w:t>
      </w:r>
    </w:p>
    <w:p w14:paraId="1992A343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6</w:t>
      </w:r>
      <w:r w:rsidRPr="00D24933">
        <w:rPr>
          <w:rFonts w:eastAsia="Merriweather"/>
        </w:rPr>
        <w:t>.A garantia abrange a realização da manutenção corretiva dos bens pelo próprio Contratado, ou, se for o caso, por meio de assistência técnica autorizada, de acordo com as normas técnicas específicas.</w:t>
      </w:r>
    </w:p>
    <w:p w14:paraId="298E0C7F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7</w:t>
      </w:r>
      <w:r w:rsidRPr="00D24933">
        <w:rPr>
          <w:rFonts w:eastAsia="Merriweather"/>
        </w:rPr>
        <w:t>.Entende-se por manutenção corretiva aquela destinada a corrigir os defeitos apresentados pelos bens, compreendendo a substituição de peças, a realização de ajustes, reparos e correções necessárias.</w:t>
      </w:r>
    </w:p>
    <w:p w14:paraId="49821EBB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8</w:t>
      </w:r>
      <w:r w:rsidRPr="00D24933">
        <w:rPr>
          <w:rFonts w:eastAsia="Merriweather"/>
        </w:rPr>
        <w:t>.As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</w:t>
      </w:r>
    </w:p>
    <w:p w14:paraId="1FE1C76C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9</w:t>
      </w:r>
      <w:r w:rsidRPr="00D24933">
        <w:rPr>
          <w:rFonts w:eastAsia="Merriweather"/>
        </w:rPr>
        <w:t xml:space="preserve">.Uma vez notificado, o Contratado realizará a reparação ou substituição dos bens que apresentarem vício ou defeito no prazo de até </w:t>
      </w:r>
      <w:r w:rsidR="001A708C">
        <w:rPr>
          <w:rFonts w:eastAsia="Merriweather"/>
        </w:rPr>
        <w:t>7</w:t>
      </w:r>
      <w:r w:rsidRPr="00D24933">
        <w:rPr>
          <w:rFonts w:eastAsia="Merriweather"/>
        </w:rPr>
        <w:t xml:space="preserve"> (</w:t>
      </w:r>
      <w:r w:rsidR="001A708C">
        <w:rPr>
          <w:rFonts w:eastAsia="Merriweather"/>
        </w:rPr>
        <w:t>sete</w:t>
      </w:r>
      <w:r w:rsidRPr="00D24933">
        <w:rPr>
          <w:rFonts w:eastAsia="Merriweather"/>
        </w:rPr>
        <w:t>) dias úteis, contados a partir da data de retirada do equipamento das dependências da Administração pelo Contratado ou pela assistência técnica autorizada.</w:t>
      </w:r>
    </w:p>
    <w:p w14:paraId="33AC4BC2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</w:t>
      </w:r>
      <w:r w:rsidR="00C0651C">
        <w:rPr>
          <w:rFonts w:eastAsia="Merriweather"/>
        </w:rPr>
        <w:t>0</w:t>
      </w:r>
      <w:r w:rsidRPr="00D24933">
        <w:rPr>
          <w:rFonts w:eastAsia="Merriweather"/>
        </w:rPr>
        <w:t>.O prazo indicado no subitem anterior, durante seu transcurso, poderá ser prorrogado uma única vez, por igual período, mediante solicitação escrita e justificada do Contratado, aceita pelo Contratante.</w:t>
      </w:r>
    </w:p>
    <w:p w14:paraId="73E31CED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</w:t>
      </w:r>
      <w:r w:rsidR="00266B76">
        <w:rPr>
          <w:rFonts w:eastAsia="Merriweather"/>
        </w:rPr>
        <w:t>1</w:t>
      </w:r>
      <w:r w:rsidRPr="00D24933">
        <w:rPr>
          <w:rFonts w:eastAsia="Merriweather"/>
        </w:rPr>
        <w:t>.Decorrido o prazo para reparos e substituições sem o atendimento da solicitação do Contratante ou a apresentação de justificativas pelo Contratado, fica o Contratante autorizado a contratar empresa diversa para executar os reparos, ajustes ou a substituição do bem ou de seus componentes, bem como a exigir do Contratado o reembolso pelos custos respectivos, sem que tal fato acarrete a perda da garantia dos equipamentos.</w:t>
      </w:r>
    </w:p>
    <w:p w14:paraId="6AD9ACED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</w:t>
      </w:r>
      <w:r w:rsidR="00266B76">
        <w:rPr>
          <w:rFonts w:eastAsia="Merriweather"/>
        </w:rPr>
        <w:t>2</w:t>
      </w:r>
      <w:r w:rsidRPr="00D24933">
        <w:rPr>
          <w:rFonts w:eastAsia="Merriweather"/>
        </w:rPr>
        <w:t>.O custo referente ao transporte dos equipamentos cobertos pela garantia será de responsabilidade do Contratado.</w:t>
      </w:r>
    </w:p>
    <w:p w14:paraId="3BCBF19D" w14:textId="77777777" w:rsidR="002A694A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lastRenderedPageBreak/>
        <w:t>5.1</w:t>
      </w:r>
      <w:r w:rsidR="00266B76">
        <w:rPr>
          <w:rFonts w:eastAsia="Merriweather"/>
        </w:rPr>
        <w:t>3</w:t>
      </w:r>
      <w:r w:rsidRPr="00D24933">
        <w:rPr>
          <w:rFonts w:eastAsia="Merriweather"/>
        </w:rPr>
        <w:t>.A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1A00F512" w14:textId="77777777" w:rsidR="00575DBC" w:rsidRPr="00D24933" w:rsidRDefault="00575DBC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</w:p>
    <w:p w14:paraId="0160D54D" w14:textId="77777777" w:rsidR="000823FB" w:rsidRDefault="000823FB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7AE3A710" w14:textId="77777777" w:rsidR="000823FB" w:rsidRDefault="000823FB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0A8D0495" w14:textId="77777777" w:rsidR="000823FB" w:rsidRDefault="000823FB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31C66FA2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6.MODELO DE GESTÃO DO CONTRATO</w:t>
      </w:r>
    </w:p>
    <w:p w14:paraId="24B56741" w14:textId="77777777" w:rsidR="00AE0D2D" w:rsidRDefault="000B0F00" w:rsidP="0090729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6.1</w:t>
      </w:r>
      <w:r w:rsidR="004E4994" w:rsidRPr="00D24933">
        <w:rPr>
          <w:rFonts w:eastAsia="Merriweather"/>
        </w:rPr>
        <w:t>.</w:t>
      </w:r>
      <w:r w:rsidR="004E4994" w:rsidRPr="00D24933">
        <w:rPr>
          <w:rFonts w:eastAsia="Merriweather"/>
          <w:sz w:val="14"/>
          <w:szCs w:val="14"/>
        </w:rPr>
        <w:t xml:space="preserve"> </w:t>
      </w:r>
      <w:r w:rsidR="004E4994" w:rsidRPr="00D24933">
        <w:rPr>
          <w:rFonts w:eastAsia="Merriweather"/>
        </w:rPr>
        <w:t>O contrato deverá ser executado fielmente pelas partes, de acordo com as cláusulas avençadas e as normas do Decreto nº. 3.537, de 09 de maio de 2023, e cada parte responderá pelas consequências de sua inexecução total ou parcial.</w:t>
      </w:r>
    </w:p>
    <w:p w14:paraId="5E46F470" w14:textId="77777777" w:rsidR="00575DBC" w:rsidRDefault="00575DBC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631C65FF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7.CRITÉRIOS DE MEDIÇÃO E DE PAGAMENTO</w:t>
      </w:r>
    </w:p>
    <w:p w14:paraId="5381C466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Recebimento do Objeto</w:t>
      </w:r>
    </w:p>
    <w:p w14:paraId="345851F3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 xml:space="preserve">7.1.Os </w:t>
      </w:r>
      <w:r w:rsidR="00C0651C">
        <w:rPr>
          <w:rFonts w:eastAsia="Merriweather"/>
        </w:rPr>
        <w:t>serviço</w:t>
      </w:r>
      <w:r w:rsidRPr="00D24933">
        <w:rPr>
          <w:rFonts w:eastAsia="Merriweather"/>
        </w:rPr>
        <w:t xml:space="preserve">s serão recebidos provisoriamente, de forma sumária, no ato da entrega, juntamente com a nota fiscal ou instrumento de cobrança equivalente, pelo responsável pelo acompanhamento e fiscalização do </w:t>
      </w:r>
      <w:r w:rsidR="004B081B">
        <w:rPr>
          <w:rFonts w:eastAsia="Merriweather"/>
        </w:rPr>
        <w:t>serviço</w:t>
      </w:r>
      <w:r w:rsidRPr="00D24933">
        <w:rPr>
          <w:rFonts w:eastAsia="Merriweather"/>
        </w:rPr>
        <w:t>, para efeito de posterior verificação de sua conformidade com as especificações constantes no Termo de Referência</w:t>
      </w:r>
      <w:r w:rsidR="00A46C3D">
        <w:rPr>
          <w:rFonts w:eastAsia="Merriweather"/>
        </w:rPr>
        <w:t xml:space="preserve"> </w:t>
      </w:r>
      <w:r w:rsidRPr="00D24933">
        <w:rPr>
          <w:rFonts w:eastAsia="Merriweather"/>
        </w:rPr>
        <w:t>e na proposta.</w:t>
      </w:r>
    </w:p>
    <w:p w14:paraId="3B4CA966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Liquidação</w:t>
      </w:r>
    </w:p>
    <w:p w14:paraId="070B8AE5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2</w:t>
      </w:r>
      <w:r w:rsidRPr="00D24933">
        <w:rPr>
          <w:rFonts w:eastAsia="Merriweather"/>
        </w:rPr>
        <w:t>.Para fins de liquidação, o setor competente deverá verificar se a nota fiscal ou instrumento de cobrança equivalente apresentado expressa os elementos necessários e essenciais do documento, tais como:</w:t>
      </w:r>
    </w:p>
    <w:p w14:paraId="60DC28B0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a)o</w:t>
      </w:r>
      <w:proofErr w:type="gramEnd"/>
      <w:r w:rsidRPr="00575DBC">
        <w:rPr>
          <w:rFonts w:eastAsia="Arial"/>
        </w:rPr>
        <w:t xml:space="preserve"> prazo de validade;</w:t>
      </w:r>
    </w:p>
    <w:p w14:paraId="7911DC4C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b)a</w:t>
      </w:r>
      <w:proofErr w:type="gramEnd"/>
      <w:r w:rsidRPr="00575DBC">
        <w:rPr>
          <w:rFonts w:eastAsia="Arial"/>
        </w:rPr>
        <w:t xml:space="preserve"> data da emissão;</w:t>
      </w:r>
    </w:p>
    <w:p w14:paraId="3D3D532F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r w:rsidRPr="00575DBC">
        <w:rPr>
          <w:rFonts w:eastAsia="Arial"/>
        </w:rPr>
        <w:t>c)</w:t>
      </w:r>
      <w:r w:rsidR="00575DBC">
        <w:t>o</w:t>
      </w:r>
      <w:r w:rsidRPr="00575DBC">
        <w:rPr>
          <w:rFonts w:eastAsia="Arial"/>
        </w:rPr>
        <w:t>s dados do contrato e do órgão contratante;</w:t>
      </w:r>
    </w:p>
    <w:p w14:paraId="74AD0A69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r w:rsidRPr="00575DBC">
        <w:rPr>
          <w:rFonts w:eastAsia="Arial"/>
        </w:rPr>
        <w:t xml:space="preserve">d)período respectivo de execução do </w:t>
      </w:r>
      <w:r w:rsidR="004B081B">
        <w:rPr>
          <w:rFonts w:eastAsia="Arial"/>
        </w:rPr>
        <w:t>serviço</w:t>
      </w:r>
      <w:r w:rsidRPr="00575DBC">
        <w:rPr>
          <w:rFonts w:eastAsia="Arial"/>
        </w:rPr>
        <w:t>;</w:t>
      </w:r>
    </w:p>
    <w:p w14:paraId="2D756445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e)o</w:t>
      </w:r>
      <w:proofErr w:type="gramEnd"/>
      <w:r w:rsidRPr="00575DBC">
        <w:rPr>
          <w:rFonts w:eastAsia="Arial"/>
        </w:rPr>
        <w:t xml:space="preserve"> valor a pagar; e</w:t>
      </w:r>
    </w:p>
    <w:p w14:paraId="0B9463F1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f)eventual</w:t>
      </w:r>
      <w:proofErr w:type="gramEnd"/>
      <w:r w:rsidRPr="00575DBC">
        <w:rPr>
          <w:rFonts w:eastAsia="Arial"/>
        </w:rPr>
        <w:t xml:space="preserve"> destaque do valor de retenções tributárias cabíveis.</w:t>
      </w:r>
    </w:p>
    <w:p w14:paraId="56CAC2DB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3</w:t>
      </w:r>
      <w:r w:rsidR="00D73607">
        <w:rPr>
          <w:rFonts w:eastAsia="Merriweather"/>
        </w:rPr>
        <w:t xml:space="preserve"> </w:t>
      </w:r>
      <w:r w:rsidRPr="00D24933">
        <w:rPr>
          <w:rFonts w:eastAsia="Merriweather"/>
        </w:rPr>
        <w:t>Havendo erro na apresentação da nota fiscal ou instrumento de cobrança equivalente, ou circunstância que impeça a liquidação da despesa, esta ficará sobrestada até que o contratado providencie as medidas saneadoras, reiniciando-se o prazo após a comprovação da regularização da situação, sem ônus ao contratante;</w:t>
      </w:r>
    </w:p>
    <w:p w14:paraId="3BA22F24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lastRenderedPageBreak/>
        <w:t>7.</w:t>
      </w:r>
      <w:r w:rsidR="004B081B">
        <w:rPr>
          <w:rFonts w:eastAsia="Merriweather"/>
        </w:rPr>
        <w:t>4</w:t>
      </w:r>
      <w:r w:rsidRPr="00D24933">
        <w:rPr>
          <w:rFonts w:eastAsia="Merriweather"/>
        </w:rPr>
        <w:t xml:space="preserve">.Não havendo regularização ou sendo a defesa considerada improcedente, o contratante deverá comunicar aos órgãos responsáveis pela fiscalização da regularidade fiscal quanto à inadimplência do contratado, bem como quanto à existência de pagamento a ser efetuado, para que sejam acionados os meios pertinentes e necessários para garantir o recebimento de seus créditos. </w:t>
      </w:r>
    </w:p>
    <w:p w14:paraId="57F73AEA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5</w:t>
      </w:r>
      <w:r w:rsidRPr="00D24933">
        <w:rPr>
          <w:rFonts w:eastAsia="Merriweather"/>
        </w:rPr>
        <w:t>.Persistindo a irregularidade, o contratante deverá adotar as medidas necessárias à rescisão contratual nos autos do processo administrativo correspondente, assegurada ao contratado a ampla defesa.</w:t>
      </w:r>
    </w:p>
    <w:p w14:paraId="429BFDBF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Forma de pagamento</w:t>
      </w:r>
    </w:p>
    <w:p w14:paraId="756260F3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6</w:t>
      </w:r>
      <w:r w:rsidRPr="00D24933">
        <w:rPr>
          <w:rFonts w:eastAsia="Merriweather"/>
        </w:rPr>
        <w:t>.O pagamento será realizado por meio de ordem bancária, para crédito em banco, agência e conta corrente indicados pelo contratado.</w:t>
      </w:r>
    </w:p>
    <w:p w14:paraId="5A2E3EF0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7</w:t>
      </w:r>
      <w:r w:rsidRPr="00D24933">
        <w:rPr>
          <w:rFonts w:eastAsia="Merriweather"/>
        </w:rPr>
        <w:t>.Será considerada data do pagamento o dia em que constar como emitida a ordem bancária para pagamento.</w:t>
      </w:r>
    </w:p>
    <w:p w14:paraId="3B317659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8</w:t>
      </w:r>
      <w:r w:rsidRPr="00D24933">
        <w:rPr>
          <w:rFonts w:eastAsia="Merriweather"/>
        </w:rPr>
        <w:t>.Quando do pagamento, será efetuada a retenção tributária prevista na legislação aplicável.</w:t>
      </w:r>
    </w:p>
    <w:p w14:paraId="73960327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575DBC">
        <w:rPr>
          <w:rFonts w:eastAsia="Merriweather"/>
          <w:b/>
        </w:rPr>
        <w:t>Antecipação de pagamento</w:t>
      </w:r>
    </w:p>
    <w:p w14:paraId="5D03F2AA" w14:textId="77777777" w:rsidR="004E411E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F36A68">
        <w:rPr>
          <w:rFonts w:eastAsia="Merriweather"/>
        </w:rPr>
        <w:t>9</w:t>
      </w:r>
      <w:r w:rsidRPr="00D24933">
        <w:rPr>
          <w:rFonts w:eastAsia="Merriweather"/>
        </w:rPr>
        <w:t xml:space="preserve">.A presente contratação </w:t>
      </w:r>
      <w:r w:rsidR="004E411E">
        <w:rPr>
          <w:rFonts w:eastAsia="Merriweather"/>
        </w:rPr>
        <w:t xml:space="preserve">não </w:t>
      </w:r>
      <w:r w:rsidRPr="00D24933">
        <w:rPr>
          <w:rFonts w:eastAsia="Merriweather"/>
        </w:rPr>
        <w:t>per</w:t>
      </w:r>
      <w:r w:rsidR="004E411E">
        <w:rPr>
          <w:rFonts w:eastAsia="Merriweather"/>
        </w:rPr>
        <w:t>mite a antecipação de pagamento.</w:t>
      </w:r>
    </w:p>
    <w:p w14:paraId="7B815B91" w14:textId="77777777" w:rsidR="002A694A" w:rsidRPr="00D24933" w:rsidRDefault="002A694A" w:rsidP="00D24933">
      <w:pPr>
        <w:spacing w:line="360" w:lineRule="auto"/>
        <w:ind w:left="0" w:hanging="2"/>
        <w:jc w:val="both"/>
        <w:rPr>
          <w:rFonts w:eastAsia="Arial"/>
          <w:b/>
          <w:color w:val="FF0000"/>
          <w:highlight w:val="white"/>
        </w:rPr>
      </w:pPr>
    </w:p>
    <w:p w14:paraId="2CA2B486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8.</w:t>
      </w:r>
      <w:r w:rsidRPr="00D24933">
        <w:rPr>
          <w:rFonts w:eastAsia="Merriweather"/>
          <w:b/>
          <w:sz w:val="14"/>
          <w:szCs w:val="14"/>
        </w:rPr>
        <w:tab/>
      </w:r>
      <w:r w:rsidRPr="00D24933">
        <w:rPr>
          <w:rFonts w:eastAsia="Merriweather"/>
          <w:b/>
        </w:rPr>
        <w:t>FORMA E CRITÉRIOS DE SELEÇÃO DO FORNECEDOR</w:t>
      </w:r>
    </w:p>
    <w:p w14:paraId="78F4536A" w14:textId="77777777" w:rsidR="002A694A" w:rsidRPr="00575DBC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575DBC">
        <w:rPr>
          <w:rFonts w:eastAsia="Merriweather"/>
          <w:b/>
        </w:rPr>
        <w:t>Forma de seleção e critério de julgamento da proposta</w:t>
      </w:r>
    </w:p>
    <w:p w14:paraId="041D7F24" w14:textId="2017043F" w:rsidR="005A3215" w:rsidRPr="00A46C3D" w:rsidRDefault="00A46C3D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b/>
        </w:rPr>
      </w:pPr>
      <w:r>
        <w:rPr>
          <w:rFonts w:eastAsia="Merriweather"/>
        </w:rPr>
        <w:t>8.1.</w:t>
      </w:r>
      <w:r w:rsidR="000B0F00" w:rsidRPr="00D24933">
        <w:rPr>
          <w:rFonts w:eastAsia="Merriweather"/>
        </w:rPr>
        <w:t xml:space="preserve"> </w:t>
      </w:r>
      <w:r w:rsidRPr="00A46C3D">
        <w:rPr>
          <w:position w:val="0"/>
        </w:rPr>
        <w:t>O fornecedor será selecionado por meio da realização de procedimento de LICITAÇÃO,</w:t>
      </w:r>
      <w:r w:rsidR="002B6E52">
        <w:rPr>
          <w:position w:val="0"/>
        </w:rPr>
        <w:t xml:space="preserve"> </w:t>
      </w:r>
      <w:r w:rsidRPr="00A46C3D">
        <w:rPr>
          <w:position w:val="0"/>
        </w:rPr>
        <w:t xml:space="preserve">na modalidade </w:t>
      </w:r>
      <w:r w:rsidR="007B7FCA">
        <w:rPr>
          <w:position w:val="0"/>
        </w:rPr>
        <w:t>DISPENSA</w:t>
      </w:r>
      <w:r w:rsidRPr="00A46C3D">
        <w:rPr>
          <w:position w:val="0"/>
        </w:rPr>
        <w:t xml:space="preserve"> sob a forma ELETRÔNICA, com adoção do critério de julg</w:t>
      </w:r>
      <w:r w:rsidR="007310B9">
        <w:rPr>
          <w:position w:val="0"/>
        </w:rPr>
        <w:t xml:space="preserve">amento pelo MENOR PREÇO </w:t>
      </w:r>
      <w:r w:rsidR="007B7FCA">
        <w:rPr>
          <w:position w:val="0"/>
        </w:rPr>
        <w:t>ITEM</w:t>
      </w:r>
      <w:r w:rsidR="007310B9">
        <w:rPr>
          <w:position w:val="0"/>
        </w:rPr>
        <w:t>.</w:t>
      </w:r>
    </w:p>
    <w:p w14:paraId="7AA3425E" w14:textId="77777777" w:rsidR="002A694A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575DBC">
        <w:rPr>
          <w:rFonts w:eastAsia="Merriweather"/>
          <w:b/>
        </w:rPr>
        <w:t>Exigências de habilitação</w:t>
      </w:r>
    </w:p>
    <w:p w14:paraId="64361C7D" w14:textId="77777777" w:rsidR="00963881" w:rsidRPr="002B6E52" w:rsidRDefault="003837DB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D24933">
        <w:rPr>
          <w:rFonts w:eastAsia="Merriweather"/>
        </w:rPr>
        <w:t>8.2.</w:t>
      </w:r>
      <w:r w:rsidR="00963881" w:rsidRPr="00963881">
        <w:rPr>
          <w:color w:val="000000"/>
          <w:position w:val="0"/>
        </w:rPr>
        <w:t xml:space="preserve"> </w:t>
      </w:r>
      <w:r w:rsidR="00963881" w:rsidRPr="002B6E52">
        <w:rPr>
          <w:position w:val="0"/>
        </w:rPr>
        <w:t>Para fins de habilitação, deverá o licitante comprovar os seguintes requisitos:</w:t>
      </w:r>
    </w:p>
    <w:p w14:paraId="2C11B7B3" w14:textId="5E2D79C3" w:rsidR="00963881" w:rsidRPr="002B6E52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2B6E52">
        <w:rPr>
          <w:position w:val="0"/>
        </w:rPr>
        <w:t>8.2.1. As exigências de habilitação jurídica, fiscal, social e trabalhista são as usuais para a</w:t>
      </w:r>
      <w:r w:rsidR="007A4998" w:rsidRPr="002B6E52">
        <w:rPr>
          <w:position w:val="0"/>
        </w:rPr>
        <w:t xml:space="preserve"> </w:t>
      </w:r>
      <w:r w:rsidRPr="002B6E52">
        <w:rPr>
          <w:position w:val="0"/>
        </w:rPr>
        <w:t>generalidade dos objetos, conforme disciplinado no Edital.</w:t>
      </w:r>
    </w:p>
    <w:p w14:paraId="0E607828" w14:textId="16683D83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 w:rsidRPr="002B6E52">
        <w:rPr>
          <w:position w:val="0"/>
        </w:rPr>
        <w:t>8.2.2. Os critérios de habilitação econômico-financeira</w:t>
      </w:r>
      <w:r w:rsidRPr="00963881">
        <w:rPr>
          <w:color w:val="000000"/>
          <w:position w:val="0"/>
        </w:rPr>
        <w:t xml:space="preserve"> a serem atendidos pelo fornecedor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estão previstos no Edital.</w:t>
      </w:r>
    </w:p>
    <w:p w14:paraId="25EE5E8A" w14:textId="77777777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.2.3. Os critérios de habilitação técnica a serem atendidos pelo fornecedor serão:</w:t>
      </w:r>
    </w:p>
    <w:p w14:paraId="010C0B71" w14:textId="42E5F74E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.2.3.1. Comprovação de aptidão para o fornecimento de bens similares de complexidade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tecnológica e operacional equivalente ou superior com o objeto desta contratação, ou com o item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pertinente, por meio da apresentação de certidões ou atestados, por pessoas jurídicas de direito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público ou privado.</w:t>
      </w:r>
    </w:p>
    <w:p w14:paraId="43798CC3" w14:textId="2E160483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lastRenderedPageBreak/>
        <w:t>8</w:t>
      </w:r>
      <w:r w:rsidRPr="00963881">
        <w:rPr>
          <w:color w:val="000000"/>
          <w:position w:val="0"/>
        </w:rPr>
        <w:t>.2.3.2. Os atestados de capacidade técnica poderão ser apresentados em nome da matriz ou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da filial do fornecedor.</w:t>
      </w:r>
    </w:p>
    <w:p w14:paraId="6530C080" w14:textId="33C54801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8.</w:t>
      </w:r>
      <w:r w:rsidRPr="00963881">
        <w:rPr>
          <w:color w:val="000000"/>
          <w:position w:val="0"/>
        </w:rPr>
        <w:t>2.3.3. Os atestados deverão referir-se a serviços prestados no âmbito de sua atividade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econômica principal ou secundária especificadas no contrato social vigente;</w:t>
      </w:r>
    </w:p>
    <w:p w14:paraId="0F670502" w14:textId="2B6C42D1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.2.4. O fornecedor disponibilizará todas as informações necessárias à comprovação da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legitimidade dos atestados, apresentando, quando solicitado pela Administração, cópia do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contrato que deu suporte à contratação, endereço atual da contratante e local em que foi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executado o objeto contratado, dentre outros documentos.</w:t>
      </w:r>
    </w:p>
    <w:p w14:paraId="1F41CE9D" w14:textId="4E4BC418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.3. Previamente à celebração do contrato, a Administração poderá verificar o eventual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descumprimento das condições para contratação, especialmente quanto à existência de sanção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que a impeça, mediante a consulta a cadastros informativos oficiais, tais como:</w:t>
      </w:r>
    </w:p>
    <w:p w14:paraId="3AA0209F" w14:textId="77777777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a) SICAF;</w:t>
      </w:r>
    </w:p>
    <w:p w14:paraId="0792293A" w14:textId="1CC76172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b) Cadastro Nacional de Empresas Inidôneas e Suspensas - CEIS, mantido pela Controladoria-Geral da União (www.portaldatransparencia.gov.br/</w:t>
      </w:r>
      <w:proofErr w:type="spellStart"/>
      <w:r w:rsidRPr="00963881">
        <w:rPr>
          <w:color w:val="000000"/>
          <w:position w:val="0"/>
        </w:rPr>
        <w:t>ceis</w:t>
      </w:r>
      <w:proofErr w:type="spellEnd"/>
      <w:r w:rsidRPr="00963881">
        <w:rPr>
          <w:color w:val="000000"/>
          <w:position w:val="0"/>
        </w:rPr>
        <w:t>); e</w:t>
      </w:r>
    </w:p>
    <w:p w14:paraId="0E9B5EFC" w14:textId="08C23066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c) Cadastro Nacional de Empresas Punidas – CNEP, mantido pela Controladoria-Geral da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União(</w:t>
      </w:r>
      <w:r w:rsidRPr="00963881">
        <w:rPr>
          <w:color w:val="000081"/>
          <w:position w:val="0"/>
        </w:rPr>
        <w:t>https://www.portaltransparencia.gov.br/sancoes/cnep</w:t>
      </w:r>
      <w:r w:rsidRPr="00963881">
        <w:rPr>
          <w:color w:val="000000"/>
          <w:position w:val="0"/>
        </w:rPr>
        <w:t>)</w:t>
      </w:r>
    </w:p>
    <w:p w14:paraId="388DE6DB" w14:textId="689BEBE0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.4. A consulta aos cadastros será realizada em nome da empresa fornecedora e também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de seu sócio majoritário, por força do artigo 12 da Lei n° 8.429, de 1992, que prevê, dentre as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sanções impostas ao responsável pela prática de ato de improbidade administrativa, a proibição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de contratar com o Poder Público, inclusive por intermédio de pessoa jurídica da qual seja sócio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majoritário.</w:t>
      </w:r>
    </w:p>
    <w:p w14:paraId="0F20B67D" w14:textId="45A688C2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.5. Caso conste na Consulta de Situação do Fornecedor a existência de Ocorrências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Impeditivas Indiretas, o gestor diligenciará para verificar se houve fraude por parte das empresas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apontadas no Relatório de Ocorrências Impeditivas Indiretas.</w:t>
      </w:r>
    </w:p>
    <w:p w14:paraId="6F2BE6F5" w14:textId="4C4AFBAF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.6. A tentativa de burla será verificada por meio dos vínculos societários, linhas de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fornecimento similares, dentre outros.</w:t>
      </w:r>
    </w:p>
    <w:p w14:paraId="2577C356" w14:textId="4D17E520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.7. O fornecedor será convocado para manifestação previamente a uma eventual negativa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de contratação.</w:t>
      </w:r>
    </w:p>
    <w:p w14:paraId="1582D452" w14:textId="188B45DE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.8. Caso atendidas as condições para contratação, a habilitação do fornecedor poderá ser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verificada por meio do SICAF, nos documentos por ele abrangidos.</w:t>
      </w:r>
    </w:p>
    <w:p w14:paraId="6F7266D3" w14:textId="5A5B9EB8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.9. É dever do fornecedor manter atualizada a respectiva documentação constante do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SICAF, ou encaminhar, quando solicitado pela Administração, a respectiva documentação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atualizada.</w:t>
      </w:r>
    </w:p>
    <w:p w14:paraId="287310B1" w14:textId="6FE39BB6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lastRenderedPageBreak/>
        <w:t>8</w:t>
      </w:r>
      <w:r w:rsidRPr="00963881">
        <w:rPr>
          <w:color w:val="000000"/>
          <w:position w:val="0"/>
        </w:rPr>
        <w:t>.10. Não serão aceitos documentos de habilitação com indicação de CNPJ/CPF diferentes,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salvo aqueles legalmente permitidos.</w:t>
      </w:r>
    </w:p>
    <w:p w14:paraId="034C8763" w14:textId="355A3BA1" w:rsidR="00963881" w:rsidRP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.11. Se o fornecedor for a matriz, todos os documentos deverão estar em nome da matriz,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e se o fornecedor for a filial, todos os documentos deverão estar em nome da filial, exceto para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atestados de capacidade técnica, caso exigidos, e no caso daqueles documentos que, pela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própria natureza, comprovadamente, forem emitidos somente em nome da matriz.</w:t>
      </w:r>
    </w:p>
    <w:p w14:paraId="4AB52A73" w14:textId="3D599ADE" w:rsidR="00963881" w:rsidRDefault="00963881" w:rsidP="002B6E52">
      <w:pPr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.12. Serão aceitos registros de CNPJ de fornecedor matriz e filial com diferenças de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números de documentos pertinentes ao CND e ao CRF/FGTS, quando for comprovada a</w:t>
      </w:r>
      <w:r w:rsidR="007A4998">
        <w:rPr>
          <w:color w:val="000000"/>
          <w:position w:val="0"/>
        </w:rPr>
        <w:t xml:space="preserve"> </w:t>
      </w:r>
      <w:r w:rsidRPr="00963881">
        <w:rPr>
          <w:color w:val="000000"/>
          <w:position w:val="0"/>
        </w:rPr>
        <w:t>centralização do recolhimento dessas contribuições</w:t>
      </w:r>
    </w:p>
    <w:p w14:paraId="31971BCE" w14:textId="77777777" w:rsidR="007A4998" w:rsidRPr="00963881" w:rsidRDefault="007A4998" w:rsidP="007A4998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</w:rPr>
      </w:pPr>
    </w:p>
    <w:p w14:paraId="232A67BA" w14:textId="77777777" w:rsidR="003837DB" w:rsidRPr="00963881" w:rsidRDefault="003837DB" w:rsidP="00963881">
      <w:pPr>
        <w:spacing w:line="360" w:lineRule="auto"/>
        <w:ind w:left="0" w:hanging="2"/>
        <w:jc w:val="both"/>
        <w:rPr>
          <w:rFonts w:eastAsia="Merriweather"/>
          <w:b/>
        </w:rPr>
      </w:pPr>
      <w:r w:rsidRPr="00963881">
        <w:rPr>
          <w:rFonts w:eastAsia="Merriweather"/>
          <w:b/>
        </w:rPr>
        <w:t>Habilitação fiscal, social e trabalhista</w:t>
      </w:r>
    </w:p>
    <w:p w14:paraId="2CDA1E44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8.15.Prova de inscrição no Cadastro Nacional de Pessoas Jurídicas ou no Cadastro de Pessoas Físicas, conforme o caso;</w:t>
      </w:r>
    </w:p>
    <w:p w14:paraId="46C7EC6C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8.16.Prova de regularidade fiscal perante a Fazenda Nacional, mediante apresentação de certidão expedida conjuntamente pela Secretaria da Receita Federal do Brasil (RFB) e pela Procuradoria-Geral da Fazenda Nacional (PGFN), referente a todos os créditos tributários federais e à Dívida Ativa da União (DAU) por elas administrados, inclusive aqueles relativos à Seguridade Social, nos termos da Portaria Conjunta nº 1.751, de 02 de outubro de 2014, do Secretário da Receita Federal do Brasil e da Procuradora-Geral da Fazenda Nacional.</w:t>
      </w:r>
    </w:p>
    <w:p w14:paraId="7EC5BD47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8.17.Prova de regularidade com o Fundo de Garantia do Tempo de Serviço (FGTS);</w:t>
      </w:r>
    </w:p>
    <w:p w14:paraId="02FB4907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8.18.Prova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1943;</w:t>
      </w:r>
    </w:p>
    <w:p w14:paraId="7D2D4B4F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 xml:space="preserve">8.19.Prova de inscrição no cadastro de contribuintes </w:t>
      </w:r>
      <w:r w:rsidRPr="00921AC7">
        <w:rPr>
          <w:rFonts w:eastAsia="Merriweather"/>
          <w:b/>
          <w:i/>
          <w:color w:val="000000" w:themeColor="text1"/>
        </w:rPr>
        <w:t>Municipal</w:t>
      </w:r>
      <w:r w:rsidR="00503255">
        <w:rPr>
          <w:rFonts w:eastAsia="Merriweather"/>
          <w:b/>
          <w:i/>
          <w:color w:val="000000" w:themeColor="text1"/>
        </w:rPr>
        <w:t xml:space="preserve"> </w:t>
      </w:r>
      <w:r w:rsidRPr="00D24933">
        <w:rPr>
          <w:rFonts w:eastAsia="Merriweather"/>
        </w:rPr>
        <w:t>relativo ao domicílio ou sede do fornecedor, pertinente ao seu ramo de atividade e compatível com o objeto contratual;</w:t>
      </w:r>
    </w:p>
    <w:p w14:paraId="4DAF17A0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8.20.Prova de regularidade com a Fazenda</w:t>
      </w:r>
      <w:r w:rsidR="00503255">
        <w:rPr>
          <w:rFonts w:eastAsia="Merriweather"/>
        </w:rPr>
        <w:t xml:space="preserve"> </w:t>
      </w:r>
      <w:r w:rsidRPr="00921AC7">
        <w:rPr>
          <w:rFonts w:eastAsia="Merriweather"/>
          <w:b/>
          <w:i/>
          <w:color w:val="000000" w:themeColor="text1"/>
        </w:rPr>
        <w:t>Municipal e Estadual</w:t>
      </w:r>
      <w:r w:rsidR="00503255">
        <w:rPr>
          <w:rFonts w:eastAsia="Merriweather"/>
          <w:b/>
          <w:i/>
          <w:color w:val="000000" w:themeColor="text1"/>
        </w:rPr>
        <w:t xml:space="preserve"> </w:t>
      </w:r>
      <w:r w:rsidRPr="00D24933">
        <w:rPr>
          <w:rFonts w:eastAsia="Merriweather"/>
        </w:rPr>
        <w:t>do domicílio ou sede do fornecedor, relativa à atividade em cujo exercício contrata ou concorre;</w:t>
      </w:r>
    </w:p>
    <w:p w14:paraId="512A44B1" w14:textId="77777777" w:rsidR="003837DB" w:rsidRPr="00921AC7" w:rsidRDefault="003837DB" w:rsidP="003837DB">
      <w:pPr>
        <w:spacing w:line="360" w:lineRule="auto"/>
        <w:ind w:left="0" w:hanging="2"/>
        <w:jc w:val="both"/>
        <w:rPr>
          <w:rFonts w:eastAsia="Merriweather"/>
          <w:i/>
          <w:color w:val="FF0000"/>
        </w:rPr>
      </w:pPr>
      <w:r w:rsidRPr="00D24933">
        <w:rPr>
          <w:rFonts w:eastAsia="Merriweather"/>
        </w:rPr>
        <w:t xml:space="preserve">8.21.Caso o fornecedor seja considerado isento dos tributos </w:t>
      </w:r>
      <w:r w:rsidRPr="00921AC7">
        <w:rPr>
          <w:rFonts w:eastAsia="Merriweather"/>
          <w:b/>
          <w:i/>
          <w:color w:val="000000" w:themeColor="text1"/>
        </w:rPr>
        <w:t>Estaduais ou Municipais</w:t>
      </w:r>
      <w:r w:rsidR="00503255">
        <w:rPr>
          <w:rFonts w:eastAsia="Merriweather"/>
          <w:b/>
          <w:i/>
          <w:color w:val="000000" w:themeColor="text1"/>
        </w:rPr>
        <w:t xml:space="preserve"> </w:t>
      </w:r>
      <w:r w:rsidRPr="00D24933">
        <w:rPr>
          <w:rFonts w:eastAsia="Merriweather"/>
        </w:rPr>
        <w:t>relacionados ao objeto contratual, deverá comprovar tal condição mediante a apresentação de declaração da Fazenda respectiva do seu domicílio ou sede, ou outra equivalente, na forma da lei.</w:t>
      </w:r>
    </w:p>
    <w:p w14:paraId="5D9A25E5" w14:textId="77777777" w:rsidR="003837DB" w:rsidRPr="00494906" w:rsidRDefault="003837DB" w:rsidP="00CB3976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D24933">
        <w:rPr>
          <w:rFonts w:eastAsia="Merriweather"/>
        </w:rPr>
        <w:t xml:space="preserve">8.22.O fornecedor enquadrado como microempreendedor individual que pretenda auferir os benefícios do tratamento diferenciado previstos na Lei Complementar n. 123, de 2006, estará </w:t>
      </w:r>
    </w:p>
    <w:p w14:paraId="7DACBC19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lastRenderedPageBreak/>
        <w:t>8.31.</w:t>
      </w:r>
      <w:r>
        <w:rPr>
          <w:rFonts w:eastAsia="Merriweather"/>
        </w:rPr>
        <w:t xml:space="preserve">Comprovação de aptidão para a prestação de serviços </w:t>
      </w:r>
      <w:r w:rsidRPr="00D24933">
        <w:rPr>
          <w:rFonts w:eastAsia="Merriweather"/>
        </w:rPr>
        <w:t>similares de complexidade tecnológica e operacional equivalente ou superior com o objeto desta contratação, ou com o item pertinente, por meio da apresentação de certidões ou atestados, por pessoas jurídicas de direito público ou privado, ou regularmente emitido(s) pelo conselho profissional competente, quando for o caso.</w:t>
      </w:r>
    </w:p>
    <w:p w14:paraId="66B8F939" w14:textId="77777777"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8.31.</w:t>
      </w:r>
      <w:r>
        <w:rPr>
          <w:rFonts w:eastAsia="Merriweather"/>
        </w:rPr>
        <w:t>1</w:t>
      </w:r>
      <w:r w:rsidRPr="00D24933">
        <w:rPr>
          <w:rFonts w:eastAsia="Merriweather"/>
        </w:rPr>
        <w:t>.Os atestados de capacidade técnica poderão ser apresentados em nome da matriz ou da filial do fornecedor.</w:t>
      </w:r>
    </w:p>
    <w:p w14:paraId="613E0082" w14:textId="77777777" w:rsidR="003837DB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8.31.</w:t>
      </w:r>
      <w:r>
        <w:rPr>
          <w:rFonts w:eastAsia="Merriweather"/>
        </w:rPr>
        <w:t>2</w:t>
      </w:r>
      <w:r w:rsidRPr="00D24933">
        <w:rPr>
          <w:rFonts w:eastAsia="Merriweather"/>
        </w:rPr>
        <w:t>.O fornecedor disponibilizará todas as informações necessárias à comprovação da legitimidade dos atestados, apresentando, quando solicitado pela Administração, cópia do contrato que deu suporte à contratação, endereço atual da contratante e local em que foi executado o objeto contratado, dentre outros documentos.</w:t>
      </w:r>
    </w:p>
    <w:p w14:paraId="22A65E49" w14:textId="77777777" w:rsidR="00972215" w:rsidRDefault="00972215" w:rsidP="00972215">
      <w:pPr>
        <w:spacing w:line="360" w:lineRule="auto"/>
        <w:ind w:left="0" w:hanging="2"/>
        <w:jc w:val="both"/>
        <w:outlineLvl w:val="9"/>
        <w:rPr>
          <w:rStyle w:val="Fontepargpadro1"/>
          <w:rFonts w:eastAsia="Merriweather"/>
        </w:rPr>
      </w:pPr>
      <w:r>
        <w:rPr>
          <w:rFonts w:eastAsia="Merriweather"/>
        </w:rPr>
        <w:t>8.32.3</w:t>
      </w:r>
      <w:r w:rsidRPr="00972215">
        <w:t xml:space="preserve"> </w:t>
      </w:r>
      <w:r>
        <w:t xml:space="preserve">Atestado de capacidade técnica-operacional emitido por no mínimo 01 (um) órgão público ou privado comprovando a especialidade no objeto do presente edital, compreendendo características, quantidades e prazos emitidos em nome da </w:t>
      </w:r>
      <w:r>
        <w:rPr>
          <w:rStyle w:val="Fontepargpadro1"/>
          <w:rFonts w:eastAsia="Merriweather"/>
        </w:rPr>
        <w:t>matriz ou da filial do fornecedor</w:t>
      </w:r>
      <w:r>
        <w:t xml:space="preserve">, desde que comprovado por qualquer vínculo empregatício ou simples contrato de prestação de serviços. O atestado deverá comprovar pelo menos o quantitativo de </w:t>
      </w:r>
      <w:r>
        <w:rPr>
          <w:rStyle w:val="Fontepargpadro1"/>
          <w:b/>
          <w:bCs/>
          <w:u w:val="single"/>
        </w:rPr>
        <w:t>50% do objeto</w:t>
      </w:r>
      <w:r>
        <w:t>.</w:t>
      </w:r>
    </w:p>
    <w:p w14:paraId="637BCEF0" w14:textId="77777777" w:rsidR="00972215" w:rsidRDefault="00972215" w:rsidP="003837DB">
      <w:pPr>
        <w:spacing w:line="360" w:lineRule="auto"/>
        <w:ind w:left="0" w:hanging="2"/>
        <w:jc w:val="both"/>
        <w:rPr>
          <w:rFonts w:eastAsia="Merriweather"/>
        </w:rPr>
      </w:pPr>
    </w:p>
    <w:p w14:paraId="1FBEC4C6" w14:textId="77777777" w:rsidR="003837DB" w:rsidRPr="00207C6B" w:rsidRDefault="003837DB" w:rsidP="003837DB">
      <w:pPr>
        <w:spacing w:line="360" w:lineRule="auto"/>
        <w:ind w:left="0" w:hanging="2"/>
        <w:jc w:val="both"/>
        <w:rPr>
          <w:rFonts w:eastAsia="Merriweather"/>
          <w:b/>
          <w:i/>
        </w:rPr>
      </w:pPr>
      <w:r w:rsidRPr="00207C6B">
        <w:rPr>
          <w:rFonts w:eastAsia="Merriweather"/>
          <w:b/>
          <w:i/>
        </w:rPr>
        <w:t>Observação: O</w:t>
      </w:r>
      <w:r>
        <w:rPr>
          <w:rFonts w:eastAsia="Merriweather"/>
          <w:b/>
          <w:i/>
        </w:rPr>
        <w:t xml:space="preserve">s itens 8.30, 8.32 até 8.32.7, </w:t>
      </w:r>
      <w:r w:rsidRPr="00207C6B">
        <w:rPr>
          <w:rFonts w:eastAsia="Merriweather"/>
          <w:b/>
          <w:i/>
        </w:rPr>
        <w:t>foram excluídos</w:t>
      </w:r>
      <w:r>
        <w:rPr>
          <w:rFonts w:eastAsia="Merriweather"/>
          <w:b/>
          <w:i/>
        </w:rPr>
        <w:t xml:space="preserve"> desse Termo de Referência,</w:t>
      </w:r>
      <w:r w:rsidRPr="00207C6B">
        <w:rPr>
          <w:rFonts w:eastAsia="Merriweather"/>
          <w:b/>
          <w:i/>
        </w:rPr>
        <w:t xml:space="preserve"> pois os mesmos não</w:t>
      </w:r>
      <w:r>
        <w:rPr>
          <w:rFonts w:eastAsia="Merriweather"/>
          <w:b/>
          <w:i/>
        </w:rPr>
        <w:t xml:space="preserve"> se </w:t>
      </w:r>
      <w:r w:rsidRPr="00207C6B">
        <w:rPr>
          <w:rFonts w:eastAsia="Merriweather"/>
          <w:b/>
          <w:i/>
        </w:rPr>
        <w:t xml:space="preserve">aplicam ao objeto contratado.                                       </w:t>
      </w:r>
    </w:p>
    <w:p w14:paraId="748FB5DF" w14:textId="77777777" w:rsidR="003837DB" w:rsidRPr="00657434" w:rsidRDefault="003837DB" w:rsidP="003837DB">
      <w:pPr>
        <w:spacing w:line="360" w:lineRule="auto"/>
        <w:ind w:left="0" w:hanging="2"/>
        <w:jc w:val="both"/>
        <w:rPr>
          <w:rFonts w:eastAsia="Merriweather"/>
          <w:i/>
        </w:rPr>
      </w:pPr>
      <w:r w:rsidRPr="00657434">
        <w:rPr>
          <w:rFonts w:eastAsia="Merriweather"/>
          <w:i/>
        </w:rPr>
        <w:t>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executá-las de forma adequada. Isso minimiza o risco de atrasos, erros ou problemas durante a execução do serviço contratado.</w:t>
      </w:r>
    </w:p>
    <w:p w14:paraId="484112F7" w14:textId="77777777" w:rsidR="003837DB" w:rsidRPr="00657434" w:rsidRDefault="003837DB" w:rsidP="003837DB">
      <w:pPr>
        <w:spacing w:line="360" w:lineRule="auto"/>
        <w:ind w:left="0" w:hanging="2"/>
        <w:jc w:val="both"/>
        <w:rPr>
          <w:rFonts w:eastAsia="Merriweather"/>
          <w:i/>
        </w:rPr>
      </w:pPr>
      <w:r w:rsidRPr="00657434">
        <w:rPr>
          <w:rFonts w:eastAsia="Merriweather"/>
          <w:i/>
        </w:rPr>
        <w:t>Além disso, a apresentação de atestados de capacidade técnica é uma forma de incentivar a concorrência saudável entre os licitantes, já que as empresas ou profissionais que não possuem experiência ou habilidades suficientes para realizar o serviço de forma adequada não serão capazes de apresentar os documentos solicitados e, portanto, não serão selecionados.</w:t>
      </w:r>
    </w:p>
    <w:p w14:paraId="03815764" w14:textId="77777777" w:rsidR="004E0E4C" w:rsidRPr="00963881" w:rsidRDefault="003837DB" w:rsidP="00963881">
      <w:pPr>
        <w:spacing w:line="360" w:lineRule="auto"/>
        <w:ind w:left="-2" w:firstLineChars="0" w:firstLine="0"/>
        <w:jc w:val="both"/>
      </w:pPr>
      <w:r>
        <w:t>8.32.</w:t>
      </w:r>
      <w:r w:rsidR="00972215">
        <w:t>4</w:t>
      </w:r>
      <w:r>
        <w:t xml:space="preserve"> </w:t>
      </w:r>
      <w:r w:rsidR="00972215">
        <w:t>4</w:t>
      </w:r>
      <w:r>
        <w:t>O art. 49 da Lei Complementar nº 123/06 afasta a aplicação do disposto nos seus artigos 47 e 48 quando não houver um mínimo de três fornecedores competitivos, enquadrados como microempresas ou empresas de pequeno porte, sediados local ou regionalmente, capazes de cumprir as exigências estabelecidas no instrumento convocatório.</w:t>
      </w:r>
    </w:p>
    <w:p w14:paraId="140239A6" w14:textId="77777777" w:rsidR="0037634B" w:rsidRDefault="0037634B" w:rsidP="00D24933">
      <w:pPr>
        <w:spacing w:line="360" w:lineRule="auto"/>
        <w:ind w:left="0" w:hanging="2"/>
        <w:jc w:val="both"/>
        <w:rPr>
          <w:rFonts w:eastAsia="Merriweather"/>
        </w:rPr>
      </w:pPr>
    </w:p>
    <w:p w14:paraId="6D90A5A7" w14:textId="0A1A45CB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  <w:b/>
        </w:rPr>
        <w:lastRenderedPageBreak/>
        <w:t>9.</w:t>
      </w:r>
      <w:r w:rsidRPr="00D24933">
        <w:rPr>
          <w:rFonts w:eastAsia="Merriweather"/>
          <w:b/>
          <w:sz w:val="14"/>
          <w:szCs w:val="14"/>
        </w:rPr>
        <w:tab/>
      </w:r>
      <w:r w:rsidRPr="00D24933">
        <w:rPr>
          <w:rFonts w:eastAsia="Merriweather"/>
          <w:b/>
        </w:rPr>
        <w:t>ESTIMATIVAS DO VALOR DA CONTRATAÇÃO</w:t>
      </w:r>
    </w:p>
    <w:p w14:paraId="74985B3E" w14:textId="65400333" w:rsidR="007B7FCA" w:rsidRDefault="000B0F00" w:rsidP="00C226BA">
      <w:pPr>
        <w:pStyle w:val="PargrafodaLista"/>
        <w:spacing w:line="360" w:lineRule="auto"/>
        <w:ind w:left="0" w:hanging="2"/>
        <w:jc w:val="both"/>
        <w:rPr>
          <w:color w:val="000000" w:themeColor="text1"/>
          <w:sz w:val="22"/>
          <w:szCs w:val="22"/>
        </w:rPr>
      </w:pPr>
      <w:r w:rsidRPr="00D24933">
        <w:rPr>
          <w:rFonts w:eastAsia="Merriweather"/>
        </w:rPr>
        <w:t>9.1.</w:t>
      </w:r>
      <w:r w:rsidR="004614AA">
        <w:rPr>
          <w:rFonts w:eastAsia="Merriweather"/>
        </w:rPr>
        <w:t xml:space="preserve"> </w:t>
      </w:r>
      <w:r w:rsidRPr="00D24933">
        <w:rPr>
          <w:rFonts w:eastAsia="Merriweather"/>
        </w:rPr>
        <w:t xml:space="preserve">O custo estimado total da contratação é </w:t>
      </w:r>
      <w:r w:rsidR="007B7FCA" w:rsidRPr="0081356B">
        <w:rPr>
          <w:rFonts w:eastAsia="Merriweather"/>
        </w:rPr>
        <w:t>de</w:t>
      </w:r>
      <w:r w:rsidR="0081356B">
        <w:rPr>
          <w:rFonts w:eastAsia="Merriweather"/>
        </w:rPr>
        <w:t xml:space="preserve"> R$</w:t>
      </w:r>
      <w:r w:rsidR="0085024C">
        <w:rPr>
          <w:rFonts w:eastAsia="Merriweather"/>
        </w:rPr>
        <w:t xml:space="preserve"> </w:t>
      </w:r>
      <w:r w:rsidR="000C6AC0">
        <w:rPr>
          <w:rFonts w:eastAsia="Merriweather"/>
        </w:rPr>
        <w:t>62.414,30</w:t>
      </w:r>
      <w:r w:rsidR="007B7FCA" w:rsidRPr="0081356B">
        <w:rPr>
          <w:rFonts w:eastAsia="Merriweather"/>
        </w:rPr>
        <w:t xml:space="preserve"> </w:t>
      </w:r>
      <w:r w:rsidR="007B7FCA">
        <w:rPr>
          <w:bCs/>
          <w:color w:val="000000" w:themeColor="text1"/>
          <w:sz w:val="22"/>
          <w:szCs w:val="22"/>
        </w:rPr>
        <w:t>(</w:t>
      </w:r>
      <w:r w:rsidR="000C6AC0" w:rsidRPr="000C6AC0">
        <w:rPr>
          <w:rStyle w:val="Forte"/>
          <w:b w:val="0"/>
        </w:rPr>
        <w:t>Sessenta e dois mil, quatrocentos e quatorze reais e trinta centavos.</w:t>
      </w:r>
      <w:r w:rsidR="007B7FCA" w:rsidRPr="00A34E85">
        <w:rPr>
          <w:bCs/>
          <w:color w:val="000000" w:themeColor="text1"/>
          <w:sz w:val="22"/>
          <w:szCs w:val="22"/>
        </w:rPr>
        <w:t>)</w:t>
      </w:r>
      <w:r w:rsidR="007B7FCA" w:rsidRPr="00A34E85">
        <w:rPr>
          <w:color w:val="000000" w:themeColor="text1"/>
          <w:sz w:val="22"/>
          <w:szCs w:val="22"/>
        </w:rPr>
        <w:t>.</w:t>
      </w:r>
    </w:p>
    <w:p w14:paraId="612FE330" w14:textId="13F15D41" w:rsidR="002A694A" w:rsidRDefault="002A694A" w:rsidP="00D24933">
      <w:pPr>
        <w:spacing w:line="360" w:lineRule="auto"/>
        <w:ind w:left="0" w:hanging="2"/>
        <w:jc w:val="both"/>
        <w:rPr>
          <w:rFonts w:eastAsia="Merriweather"/>
        </w:rPr>
      </w:pPr>
    </w:p>
    <w:p w14:paraId="052B9B75" w14:textId="77777777" w:rsidR="00503255" w:rsidRPr="00D24933" w:rsidRDefault="00363A60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>TABELA EM ANEXO</w:t>
      </w:r>
    </w:p>
    <w:p w14:paraId="74F78402" w14:textId="66C70DC9" w:rsidR="001542BF" w:rsidRDefault="000B0F00" w:rsidP="001542BF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9.</w:t>
      </w:r>
      <w:r w:rsidR="001542BF">
        <w:rPr>
          <w:rFonts w:eastAsia="Merriweather"/>
        </w:rPr>
        <w:t>2</w:t>
      </w:r>
      <w:r w:rsidRPr="00D24933">
        <w:rPr>
          <w:rFonts w:eastAsia="Merriweather"/>
        </w:rPr>
        <w:t>.</w:t>
      </w:r>
      <w:r w:rsidR="00D940C2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Os preços deverão ser apresentados com a inclusão de todos os custos operacionais da</w:t>
      </w:r>
      <w:r w:rsidR="0042148E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atividade e</w:t>
      </w:r>
      <w:r w:rsidR="007A4998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os tributos que eventualmente possam incidir sobre eles, bem como as demais</w:t>
      </w:r>
      <w:r w:rsidR="0042148E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despesas diretas e indiretas, sem que caiba direito ao proponente de reivindicar custos</w:t>
      </w:r>
      <w:r w:rsidR="00C2573C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adicionais diretos ou indiretos.</w:t>
      </w:r>
    </w:p>
    <w:p w14:paraId="56903CE2" w14:textId="77777777" w:rsidR="00507F26" w:rsidRDefault="00507F26" w:rsidP="001542BF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25067878" w14:textId="77777777" w:rsidR="00D940C2" w:rsidRDefault="00D940C2" w:rsidP="001542BF">
      <w:pPr>
        <w:spacing w:line="360" w:lineRule="auto"/>
        <w:ind w:left="0" w:hanging="2"/>
        <w:jc w:val="both"/>
        <w:rPr>
          <w:rFonts w:eastAsia="Merriweather"/>
          <w:b/>
        </w:rPr>
      </w:pPr>
    </w:p>
    <w:p w14:paraId="767C8330" w14:textId="77777777" w:rsidR="002A694A" w:rsidRDefault="000B0F00" w:rsidP="001542BF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10.ADEQUAÇÃO ORÇAMENTÁRIA</w:t>
      </w:r>
    </w:p>
    <w:p w14:paraId="21C1C785" w14:textId="0448681E"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10.1.</w:t>
      </w:r>
      <w:r w:rsidR="00D940C2">
        <w:rPr>
          <w:rFonts w:eastAsia="Merriweather"/>
        </w:rPr>
        <w:t xml:space="preserve"> </w:t>
      </w:r>
      <w:r w:rsidRPr="00D24933">
        <w:rPr>
          <w:rFonts w:eastAsia="Merriweather"/>
        </w:rPr>
        <w:t>As despesas decorrentes da presente contratação correrão à conta de recursos específicos consignados no Orçamento.</w:t>
      </w:r>
    </w:p>
    <w:p w14:paraId="220FEF31" w14:textId="68CEF62D"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10.2.</w:t>
      </w:r>
      <w:r w:rsidR="00D940C2">
        <w:rPr>
          <w:rFonts w:eastAsia="Merriweather"/>
        </w:rPr>
        <w:t xml:space="preserve"> </w:t>
      </w:r>
      <w:r w:rsidRPr="00D24933">
        <w:rPr>
          <w:rFonts w:eastAsia="Merriweather"/>
        </w:rPr>
        <w:t>A contratação será atendida pela seguinte dotação:</w:t>
      </w:r>
    </w:p>
    <w:p w14:paraId="5857F547" w14:textId="77777777" w:rsidR="003054B2" w:rsidRPr="00E7183E" w:rsidRDefault="003054B2" w:rsidP="003054B2">
      <w:pPr>
        <w:spacing w:line="360" w:lineRule="auto"/>
        <w:ind w:left="0" w:hanging="2"/>
        <w:jc w:val="both"/>
        <w:rPr>
          <w:rFonts w:eastAsia="Merriweather"/>
          <w:color w:val="FF0000"/>
        </w:rPr>
      </w:pPr>
    </w:p>
    <w:p w14:paraId="416993C3" w14:textId="77777777" w:rsidR="0037634B" w:rsidRPr="00E7183E" w:rsidRDefault="003054B2" w:rsidP="00D24933">
      <w:pPr>
        <w:spacing w:line="360" w:lineRule="auto"/>
        <w:ind w:left="0" w:hanging="2"/>
        <w:jc w:val="both"/>
        <w:rPr>
          <w:rFonts w:eastAsia="Merriweather"/>
          <w:color w:val="C00000"/>
        </w:rPr>
      </w:pPr>
      <w:r>
        <w:rPr>
          <w:rFonts w:eastAsia="Merriweather"/>
          <w:noProof/>
          <w:color w:val="C00000"/>
        </w:rPr>
        <w:drawing>
          <wp:inline distT="0" distB="0" distL="0" distR="0" wp14:anchorId="629CC44C" wp14:editId="332374AC">
            <wp:extent cx="6162675" cy="25812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67A0F" w14:textId="136D7D05" w:rsidR="0037634B" w:rsidRDefault="002B6E52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lastRenderedPageBreak/>
        <w:drawing>
          <wp:inline distT="0" distB="0" distL="0" distR="0" wp14:anchorId="6A61F577" wp14:editId="4B12CF77">
            <wp:extent cx="6153150" cy="28575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19DF2" w14:textId="232C4062" w:rsidR="00716684" w:rsidRDefault="00324861" w:rsidP="00946429">
      <w:pPr>
        <w:spacing w:line="360" w:lineRule="auto"/>
        <w:ind w:left="0" w:hanging="2"/>
        <w:jc w:val="both"/>
        <w:rPr>
          <w:rFonts w:eastAsia="Merriweather"/>
        </w:rPr>
      </w:pPr>
      <w:r>
        <w:rPr>
          <w:noProof/>
        </w:rPr>
        <w:drawing>
          <wp:inline distT="0" distB="0" distL="0" distR="0" wp14:anchorId="7A1AC390" wp14:editId="764C5167">
            <wp:extent cx="615315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51D04" w14:textId="61871424" w:rsidR="00716684" w:rsidRDefault="00324861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 wp14:anchorId="34D3AD99" wp14:editId="37B792EF">
            <wp:extent cx="6153150" cy="25146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697D8" w14:textId="4DD1A48C" w:rsidR="00890894" w:rsidRDefault="00890894" w:rsidP="00946429">
      <w:pPr>
        <w:spacing w:line="360" w:lineRule="auto"/>
        <w:ind w:left="0" w:hanging="2"/>
        <w:jc w:val="both"/>
        <w:rPr>
          <w:rFonts w:eastAsia="Merriweather"/>
        </w:rPr>
      </w:pPr>
    </w:p>
    <w:p w14:paraId="00DC0D05" w14:textId="77777777"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lastRenderedPageBreak/>
        <w:drawing>
          <wp:inline distT="0" distB="0" distL="0" distR="0" wp14:anchorId="7B3419EC" wp14:editId="18D37BB5">
            <wp:extent cx="6162675" cy="2524125"/>
            <wp:effectExtent l="0" t="0" r="9525" b="952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C1A3D" w14:textId="77777777"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 wp14:anchorId="043D83BB" wp14:editId="46F36085">
            <wp:extent cx="6153150" cy="2619375"/>
            <wp:effectExtent l="0" t="0" r="0" b="9525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2F348" w14:textId="3089505D" w:rsidR="00890894" w:rsidRDefault="00890894" w:rsidP="00946429">
      <w:pPr>
        <w:spacing w:line="360" w:lineRule="auto"/>
        <w:ind w:leftChars="0" w:left="0" w:firstLineChars="0" w:firstLine="0"/>
        <w:jc w:val="both"/>
        <w:rPr>
          <w:rFonts w:eastAsia="Merriweather"/>
        </w:rPr>
      </w:pPr>
    </w:p>
    <w:p w14:paraId="2D5BF02B" w14:textId="77777777"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10.3.A dotação relativa aos exercícios financeiros subsequentes será indicada após aprovação da Lei Orçamentária respectiva e liberação dos créditos correspondentes, mediante apostilamento.</w:t>
      </w:r>
    </w:p>
    <w:p w14:paraId="3B196163" w14:textId="77777777" w:rsidR="002A694A" w:rsidRPr="00D24933" w:rsidRDefault="002A694A" w:rsidP="00D24933">
      <w:pPr>
        <w:spacing w:line="360" w:lineRule="auto"/>
        <w:ind w:left="0" w:hanging="2"/>
        <w:jc w:val="both"/>
        <w:rPr>
          <w:rFonts w:eastAsia="Merriweather"/>
          <w:i/>
          <w:color w:val="FF0000"/>
        </w:rPr>
      </w:pPr>
    </w:p>
    <w:p w14:paraId="57B9DC8B" w14:textId="4386B780" w:rsidR="00080044" w:rsidRDefault="00F30B35" w:rsidP="00F320B8">
      <w:pPr>
        <w:spacing w:line="360" w:lineRule="auto"/>
        <w:ind w:left="0"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>Bandeirantes</w:t>
      </w:r>
      <w:r w:rsidR="00080044">
        <w:rPr>
          <w:rFonts w:eastAsia="Merriweather"/>
          <w:i/>
        </w:rPr>
        <w:t xml:space="preserve"> </w:t>
      </w:r>
      <w:r w:rsidR="00CD219E">
        <w:rPr>
          <w:rFonts w:eastAsia="Merriweather"/>
          <w:i/>
        </w:rPr>
        <w:t xml:space="preserve">24 de Junho </w:t>
      </w:r>
      <w:r w:rsidR="00360416">
        <w:rPr>
          <w:rFonts w:eastAsia="Merriweather"/>
          <w:i/>
        </w:rPr>
        <w:t>de</w:t>
      </w:r>
      <w:r w:rsidR="00080044">
        <w:rPr>
          <w:rFonts w:eastAsia="Merriweather"/>
          <w:i/>
        </w:rPr>
        <w:t xml:space="preserve"> 2025.</w:t>
      </w:r>
    </w:p>
    <w:p w14:paraId="104EA893" w14:textId="77777777" w:rsidR="00080044" w:rsidRDefault="00080044" w:rsidP="00FF292A">
      <w:pPr>
        <w:spacing w:line="360" w:lineRule="auto"/>
        <w:ind w:leftChars="0" w:left="0" w:firstLineChars="0" w:firstLine="0"/>
        <w:rPr>
          <w:rFonts w:eastAsia="Merriweather"/>
          <w:i/>
        </w:rPr>
      </w:pPr>
    </w:p>
    <w:p w14:paraId="34A5CE58" w14:textId="77777777" w:rsidR="00080044" w:rsidRPr="00F30B35" w:rsidRDefault="00080044" w:rsidP="00B96B81">
      <w:pPr>
        <w:spacing w:line="360" w:lineRule="auto"/>
        <w:ind w:leftChars="0" w:left="0" w:firstLineChars="0" w:firstLine="0"/>
        <w:rPr>
          <w:rFonts w:eastAsia="Merriweather"/>
          <w:i/>
        </w:rPr>
      </w:pPr>
    </w:p>
    <w:p w14:paraId="57E9CF9F" w14:textId="77777777" w:rsidR="00080044" w:rsidRDefault="00503255" w:rsidP="003B5970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  <w:t>_________________________</w:t>
      </w:r>
      <w:r w:rsidR="00080044">
        <w:rPr>
          <w:rFonts w:eastAsia="Merriweather"/>
        </w:rPr>
        <w:t xml:space="preserve">  </w:t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  <w:t xml:space="preserve">                                                       _____________________________</w:t>
      </w:r>
      <w:r w:rsidR="00080044">
        <w:rPr>
          <w:rFonts w:eastAsia="Merriweather"/>
        </w:rPr>
        <w:t xml:space="preserve">                                                                                                                 </w:t>
      </w:r>
    </w:p>
    <w:p w14:paraId="3FCEF5CE" w14:textId="32F38B44" w:rsidR="00E84AF9" w:rsidRDefault="00503255" w:rsidP="003B5970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    </w:t>
      </w:r>
      <w:r w:rsidR="00080044">
        <w:rPr>
          <w:rFonts w:eastAsia="Merriweather"/>
        </w:rPr>
        <w:t xml:space="preserve">Claudia Janz da Silva                                                                          </w:t>
      </w:r>
      <w:r w:rsidR="00946429">
        <w:rPr>
          <w:rFonts w:eastAsia="Merriweather"/>
        </w:rPr>
        <w:t xml:space="preserve">Camila Dias </w:t>
      </w:r>
      <w:r w:rsidR="00946429" w:rsidRPr="00080044">
        <w:rPr>
          <w:rFonts w:eastAsia="Merriweather"/>
        </w:rPr>
        <w:t>Ramalho</w:t>
      </w:r>
      <w:r w:rsidR="00946429">
        <w:rPr>
          <w:rFonts w:eastAsia="Merriweather"/>
        </w:rPr>
        <w:t xml:space="preserve"> Matta                                                                           </w:t>
      </w:r>
    </w:p>
    <w:p w14:paraId="01B8C106" w14:textId="5CC13508" w:rsidR="00080044" w:rsidRDefault="00080044" w:rsidP="003B5970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>Secretaria de Administração</w:t>
      </w:r>
      <w:r w:rsidR="00B96B81">
        <w:rPr>
          <w:rFonts w:eastAsia="Merriweather"/>
        </w:rPr>
        <w:t xml:space="preserve">                                                              </w:t>
      </w:r>
      <w:r w:rsidR="00946429">
        <w:rPr>
          <w:rFonts w:eastAsia="Merriweather"/>
        </w:rPr>
        <w:t>Secretári</w:t>
      </w:r>
      <w:r w:rsidR="00CD219E">
        <w:rPr>
          <w:rFonts w:eastAsia="Merriweather"/>
        </w:rPr>
        <w:t xml:space="preserve">a </w:t>
      </w:r>
      <w:r w:rsidR="00946429">
        <w:rPr>
          <w:rFonts w:eastAsia="Merriweather"/>
        </w:rPr>
        <w:t xml:space="preserve">da Agricultura e </w:t>
      </w:r>
      <w:r w:rsidR="007A4998">
        <w:rPr>
          <w:rFonts w:eastAsia="Merriweather"/>
        </w:rPr>
        <w:t>Pecuária</w:t>
      </w:r>
      <w:r w:rsidR="00946429">
        <w:rPr>
          <w:rFonts w:eastAsia="Merriweather"/>
        </w:rPr>
        <w:t xml:space="preserve">                       </w:t>
      </w:r>
    </w:p>
    <w:sectPr w:rsidR="00080044" w:rsidSect="003C37A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2410" w:right="1211" w:bottom="993" w:left="99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011F2" w14:textId="77777777" w:rsidR="00873E9B" w:rsidRDefault="00873E9B">
      <w:pPr>
        <w:spacing w:line="240" w:lineRule="auto"/>
        <w:ind w:left="0" w:hanging="2"/>
      </w:pPr>
      <w:r>
        <w:separator/>
      </w:r>
    </w:p>
  </w:endnote>
  <w:endnote w:type="continuationSeparator" w:id="0">
    <w:p w14:paraId="4C60E537" w14:textId="77777777" w:rsidR="00873E9B" w:rsidRDefault="00873E9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5A486" w14:textId="77777777" w:rsidR="00063963" w:rsidRDefault="00063963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13E9" w14:textId="77777777" w:rsidR="002A694A" w:rsidRDefault="000B0F00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BEE2" w14:textId="77777777" w:rsidR="00063963" w:rsidRDefault="00063963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CBB3D" w14:textId="77777777" w:rsidR="00873E9B" w:rsidRDefault="00873E9B">
      <w:pPr>
        <w:spacing w:line="240" w:lineRule="auto"/>
        <w:ind w:left="0" w:hanging="2"/>
      </w:pPr>
      <w:r>
        <w:separator/>
      </w:r>
    </w:p>
  </w:footnote>
  <w:footnote w:type="continuationSeparator" w:id="0">
    <w:p w14:paraId="1AF3EEB3" w14:textId="77777777" w:rsidR="00873E9B" w:rsidRDefault="00873E9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3464" w14:textId="77777777" w:rsidR="00063963" w:rsidRDefault="00063963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E4D1" w14:textId="77777777" w:rsidR="002A694A" w:rsidRDefault="000B0F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ADC4D03" wp14:editId="208350A5">
          <wp:simplePos x="0" y="0"/>
          <wp:positionH relativeFrom="column">
            <wp:posOffset>-240665</wp:posOffset>
          </wp:positionH>
          <wp:positionV relativeFrom="paragraph">
            <wp:posOffset>-123190</wp:posOffset>
          </wp:positionV>
          <wp:extent cx="1003300" cy="1193800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57EC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B99AC9" wp14:editId="337410D9">
              <wp:simplePos x="0" y="0"/>
              <wp:positionH relativeFrom="column">
                <wp:posOffset>762000</wp:posOffset>
              </wp:positionH>
              <wp:positionV relativeFrom="paragraph">
                <wp:posOffset>-152400</wp:posOffset>
              </wp:positionV>
              <wp:extent cx="6149340" cy="1009650"/>
              <wp:effectExtent l="1905" t="0" r="1905" b="0"/>
              <wp:wrapNone/>
              <wp:docPr id="2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4934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72A08" w14:textId="77777777" w:rsidR="002A694A" w:rsidRPr="00063963" w:rsidRDefault="000B0F00" w:rsidP="00063963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22"/>
                            </w:rPr>
                          </w:pPr>
                          <w:r w:rsidRPr="00063963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0"/>
                            </w:rPr>
                            <w:t>PREFEITURA MUNICIPAL DE BANDEIRANTES</w:t>
                          </w:r>
                        </w:p>
                        <w:p w14:paraId="3BD4162D" w14:textId="77777777" w:rsidR="002A694A" w:rsidRPr="00063963" w:rsidRDefault="000B0F00" w:rsidP="00063963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2"/>
                            </w:rPr>
                          </w:pPr>
                          <w:r w:rsidRPr="00063963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</w:rPr>
                            <w:t>ESTADO DO PARANÁ</w:t>
                          </w:r>
                        </w:p>
                        <w:p w14:paraId="526388B3" w14:textId="77777777" w:rsidR="002A694A" w:rsidRPr="00063963" w:rsidRDefault="002A694A" w:rsidP="00063963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B99AC9" id="Retângulo 5" o:spid="_x0000_s1026" style="position:absolute;margin-left:60pt;margin-top:-12pt;width:484.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" filled="f" stroked="f">
              <v:textbox inset="2.53958mm,1.2694mm,2.53958mm,1.2694mm">
                <w:txbxContent>
                  <w:p w14:paraId="06B72A08" w14:textId="77777777" w:rsidR="002A694A" w:rsidRPr="00063963" w:rsidRDefault="000B0F00" w:rsidP="00063963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22"/>
                      </w:rPr>
                    </w:pPr>
                    <w:r w:rsidRPr="00063963">
                      <w:rPr>
                        <w:rFonts w:ascii="Algerian" w:eastAsia="Algerian" w:hAnsi="Algerian" w:cs="Algerian"/>
                        <w:i/>
                        <w:color w:val="000000"/>
                        <w:sz w:val="40"/>
                      </w:rPr>
                      <w:t>PREFEITURA MUNICIPAL DE BANDEIRANTES</w:t>
                    </w:r>
                  </w:p>
                  <w:p w14:paraId="3BD4162D" w14:textId="77777777" w:rsidR="002A694A" w:rsidRPr="00063963" w:rsidRDefault="000B0F00" w:rsidP="00063963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2"/>
                      </w:rPr>
                    </w:pPr>
                    <w:r w:rsidRPr="00063963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</w:rPr>
                      <w:t>ESTADO DO PARANÁ</w:t>
                    </w:r>
                  </w:p>
                  <w:p w14:paraId="526388B3" w14:textId="77777777" w:rsidR="002A694A" w:rsidRPr="00063963" w:rsidRDefault="002A694A" w:rsidP="00063963">
                    <w:pPr>
                      <w:spacing w:line="240" w:lineRule="auto"/>
                      <w:ind w:left="0" w:hanging="2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11BAD4C2" w14:textId="77777777" w:rsidR="002A694A" w:rsidRDefault="002A69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69BA" w14:textId="77777777" w:rsidR="00063963" w:rsidRDefault="00063963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1" w15:restartNumberingAfterBreak="0">
    <w:nsid w:val="63F32FD9"/>
    <w:multiLevelType w:val="hybridMultilevel"/>
    <w:tmpl w:val="8B1E9388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492918881">
    <w:abstractNumId w:val="1"/>
  </w:num>
  <w:num w:numId="2" w16cid:durableId="1962765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94A"/>
    <w:rsid w:val="00015068"/>
    <w:rsid w:val="000302DE"/>
    <w:rsid w:val="0003273D"/>
    <w:rsid w:val="00035579"/>
    <w:rsid w:val="00063963"/>
    <w:rsid w:val="000778F7"/>
    <w:rsid w:val="00080044"/>
    <w:rsid w:val="000814C8"/>
    <w:rsid w:val="000823FB"/>
    <w:rsid w:val="00090E24"/>
    <w:rsid w:val="000B0F00"/>
    <w:rsid w:val="000B2DA8"/>
    <w:rsid w:val="000C6AC0"/>
    <w:rsid w:val="000E50C0"/>
    <w:rsid w:val="000F1A9E"/>
    <w:rsid w:val="00122D86"/>
    <w:rsid w:val="0014200E"/>
    <w:rsid w:val="001542BF"/>
    <w:rsid w:val="001965BE"/>
    <w:rsid w:val="001A3290"/>
    <w:rsid w:val="001A708C"/>
    <w:rsid w:val="001C28D0"/>
    <w:rsid w:val="002322C7"/>
    <w:rsid w:val="00253F68"/>
    <w:rsid w:val="00266B76"/>
    <w:rsid w:val="00295B8D"/>
    <w:rsid w:val="002A694A"/>
    <w:rsid w:val="002B6E52"/>
    <w:rsid w:val="003054B2"/>
    <w:rsid w:val="00324861"/>
    <w:rsid w:val="0033409E"/>
    <w:rsid w:val="00360416"/>
    <w:rsid w:val="00363A60"/>
    <w:rsid w:val="00370862"/>
    <w:rsid w:val="0037634B"/>
    <w:rsid w:val="003837DB"/>
    <w:rsid w:val="0038730A"/>
    <w:rsid w:val="003A42F9"/>
    <w:rsid w:val="003B5970"/>
    <w:rsid w:val="003C37A4"/>
    <w:rsid w:val="003C45DB"/>
    <w:rsid w:val="003D7119"/>
    <w:rsid w:val="003E45C8"/>
    <w:rsid w:val="003F4490"/>
    <w:rsid w:val="0042148E"/>
    <w:rsid w:val="004269AA"/>
    <w:rsid w:val="004422C2"/>
    <w:rsid w:val="00456541"/>
    <w:rsid w:val="004614AA"/>
    <w:rsid w:val="004713C7"/>
    <w:rsid w:val="00486D12"/>
    <w:rsid w:val="004B081B"/>
    <w:rsid w:val="004C67FB"/>
    <w:rsid w:val="004C694C"/>
    <w:rsid w:val="004D2655"/>
    <w:rsid w:val="004D5605"/>
    <w:rsid w:val="004D6A93"/>
    <w:rsid w:val="004E0E4C"/>
    <w:rsid w:val="004E1725"/>
    <w:rsid w:val="004E3FE5"/>
    <w:rsid w:val="004E411E"/>
    <w:rsid w:val="004E4994"/>
    <w:rsid w:val="004F2AFB"/>
    <w:rsid w:val="004F71E2"/>
    <w:rsid w:val="00500094"/>
    <w:rsid w:val="00503255"/>
    <w:rsid w:val="00507F26"/>
    <w:rsid w:val="0054207B"/>
    <w:rsid w:val="0057084F"/>
    <w:rsid w:val="00575DBC"/>
    <w:rsid w:val="00584F60"/>
    <w:rsid w:val="00587F7D"/>
    <w:rsid w:val="005A3215"/>
    <w:rsid w:val="005A7C53"/>
    <w:rsid w:val="005C10D1"/>
    <w:rsid w:val="005E5BE1"/>
    <w:rsid w:val="00631D85"/>
    <w:rsid w:val="006366D9"/>
    <w:rsid w:val="006528B4"/>
    <w:rsid w:val="00657F04"/>
    <w:rsid w:val="00661853"/>
    <w:rsid w:val="00665DE4"/>
    <w:rsid w:val="00667D4E"/>
    <w:rsid w:val="00677578"/>
    <w:rsid w:val="006A2A83"/>
    <w:rsid w:val="006A61E8"/>
    <w:rsid w:val="006E3B04"/>
    <w:rsid w:val="006E4891"/>
    <w:rsid w:val="00716684"/>
    <w:rsid w:val="007222C4"/>
    <w:rsid w:val="007310B9"/>
    <w:rsid w:val="0073443A"/>
    <w:rsid w:val="007A1C21"/>
    <w:rsid w:val="007A4998"/>
    <w:rsid w:val="007B7FCA"/>
    <w:rsid w:val="007C0142"/>
    <w:rsid w:val="007C1DDF"/>
    <w:rsid w:val="00807E33"/>
    <w:rsid w:val="0081356B"/>
    <w:rsid w:val="0084777C"/>
    <w:rsid w:val="0085024C"/>
    <w:rsid w:val="00871F8E"/>
    <w:rsid w:val="00873E9B"/>
    <w:rsid w:val="00890894"/>
    <w:rsid w:val="008A09D5"/>
    <w:rsid w:val="008C568E"/>
    <w:rsid w:val="008D3E40"/>
    <w:rsid w:val="008E14D4"/>
    <w:rsid w:val="008F59A6"/>
    <w:rsid w:val="00907293"/>
    <w:rsid w:val="009142D9"/>
    <w:rsid w:val="00921084"/>
    <w:rsid w:val="009276DE"/>
    <w:rsid w:val="0093471A"/>
    <w:rsid w:val="0094280A"/>
    <w:rsid w:val="00946429"/>
    <w:rsid w:val="009607E6"/>
    <w:rsid w:val="0096282F"/>
    <w:rsid w:val="00963881"/>
    <w:rsid w:val="00972215"/>
    <w:rsid w:val="009A6C56"/>
    <w:rsid w:val="009C7BAA"/>
    <w:rsid w:val="009D2517"/>
    <w:rsid w:val="009F6F24"/>
    <w:rsid w:val="00A46C3D"/>
    <w:rsid w:val="00A614AE"/>
    <w:rsid w:val="00A66B36"/>
    <w:rsid w:val="00A907FB"/>
    <w:rsid w:val="00AB118A"/>
    <w:rsid w:val="00AD0F32"/>
    <w:rsid w:val="00AE0D2D"/>
    <w:rsid w:val="00AF37FC"/>
    <w:rsid w:val="00B059B9"/>
    <w:rsid w:val="00B1165A"/>
    <w:rsid w:val="00B23D95"/>
    <w:rsid w:val="00B40746"/>
    <w:rsid w:val="00B450C4"/>
    <w:rsid w:val="00B57283"/>
    <w:rsid w:val="00B60196"/>
    <w:rsid w:val="00B61570"/>
    <w:rsid w:val="00B72008"/>
    <w:rsid w:val="00B85CFE"/>
    <w:rsid w:val="00B96B81"/>
    <w:rsid w:val="00BA4D4E"/>
    <w:rsid w:val="00BC2947"/>
    <w:rsid w:val="00BF0F92"/>
    <w:rsid w:val="00C0651C"/>
    <w:rsid w:val="00C226BA"/>
    <w:rsid w:val="00C2573C"/>
    <w:rsid w:val="00C3283F"/>
    <w:rsid w:val="00C55285"/>
    <w:rsid w:val="00C7202E"/>
    <w:rsid w:val="00C831DF"/>
    <w:rsid w:val="00CA503F"/>
    <w:rsid w:val="00CB3976"/>
    <w:rsid w:val="00CB59B5"/>
    <w:rsid w:val="00CC3AB9"/>
    <w:rsid w:val="00CD219E"/>
    <w:rsid w:val="00D24933"/>
    <w:rsid w:val="00D30710"/>
    <w:rsid w:val="00D36A0D"/>
    <w:rsid w:val="00D616F8"/>
    <w:rsid w:val="00D621DA"/>
    <w:rsid w:val="00D73607"/>
    <w:rsid w:val="00D76C89"/>
    <w:rsid w:val="00D940C2"/>
    <w:rsid w:val="00DB3A9C"/>
    <w:rsid w:val="00DF7BA0"/>
    <w:rsid w:val="00E11890"/>
    <w:rsid w:val="00E13575"/>
    <w:rsid w:val="00E431CE"/>
    <w:rsid w:val="00E44C50"/>
    <w:rsid w:val="00E62F6D"/>
    <w:rsid w:val="00E70450"/>
    <w:rsid w:val="00E7183E"/>
    <w:rsid w:val="00E722E4"/>
    <w:rsid w:val="00E747FE"/>
    <w:rsid w:val="00E84AF9"/>
    <w:rsid w:val="00EC2194"/>
    <w:rsid w:val="00EC348B"/>
    <w:rsid w:val="00F12238"/>
    <w:rsid w:val="00F30963"/>
    <w:rsid w:val="00F30B35"/>
    <w:rsid w:val="00F320B8"/>
    <w:rsid w:val="00F36A68"/>
    <w:rsid w:val="00F57EC5"/>
    <w:rsid w:val="00F617F0"/>
    <w:rsid w:val="00F62410"/>
    <w:rsid w:val="00F710B5"/>
    <w:rsid w:val="00F736C6"/>
    <w:rsid w:val="00F8342E"/>
    <w:rsid w:val="00FB05ED"/>
    <w:rsid w:val="00FB33AC"/>
    <w:rsid w:val="00FB3F59"/>
    <w:rsid w:val="00FC7AD3"/>
    <w:rsid w:val="00FF11D2"/>
    <w:rsid w:val="00FF292A"/>
    <w:rsid w:val="00FF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7CD78"/>
  <w15:docId w15:val="{2F5253A6-A1A2-4408-9EB4-F62AE876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C37A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rsid w:val="003C37A4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rsid w:val="003C37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rsid w:val="003C37A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rsid w:val="003C37A4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C37A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3C37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3C37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C37A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C37A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3C37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rsid w:val="003C37A4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rsid w:val="003C37A4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rsid w:val="003C37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sid w:val="003C37A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rsid w:val="003C37A4"/>
    <w:pPr>
      <w:tabs>
        <w:tab w:val="center" w:pos="4252"/>
        <w:tab w:val="right" w:pos="8504"/>
      </w:tabs>
    </w:pPr>
  </w:style>
  <w:style w:type="character" w:customStyle="1" w:styleId="RodapChar">
    <w:name w:val="Rodapé Char"/>
    <w:rsid w:val="003C37A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3C37A4"/>
    <w:rPr>
      <w:rFonts w:ascii="Segoe UI" w:hAnsi="Segoe UI"/>
      <w:sz w:val="18"/>
      <w:szCs w:val="18"/>
    </w:rPr>
  </w:style>
  <w:style w:type="character" w:customStyle="1" w:styleId="TextodebaloChar">
    <w:name w:val="Texto de balão Char"/>
    <w:rsid w:val="003C37A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sid w:val="003C37A4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rsid w:val="003C37A4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sid w:val="003C37A4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3C37A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rsid w:val="003C37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C37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rsid w:val="003C37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34"/>
    <w:qFormat/>
    <w:rsid w:val="00921084"/>
    <w:pPr>
      <w:ind w:left="720"/>
      <w:contextualSpacing/>
    </w:pPr>
  </w:style>
  <w:style w:type="paragraph" w:customStyle="1" w:styleId="western">
    <w:name w:val="western"/>
    <w:basedOn w:val="Normal"/>
    <w:rsid w:val="005E5BE1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3837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2573C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Fontepargpadro1">
    <w:name w:val="Fonte parág. padrão1"/>
    <w:rsid w:val="00972215"/>
  </w:style>
  <w:style w:type="character" w:styleId="Forte">
    <w:name w:val="Strong"/>
    <w:basedOn w:val="Fontepargpadro"/>
    <w:uiPriority w:val="22"/>
    <w:qFormat/>
    <w:rsid w:val="00813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BD1979E-F41A-4E4D-9847-2F08D3A4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11</Pages>
  <Words>2994</Words>
  <Characters>16172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Weslley Pires</cp:lastModifiedBy>
  <cp:revision>43</cp:revision>
  <cp:lastPrinted>2025-04-16T19:29:00Z</cp:lastPrinted>
  <dcterms:created xsi:type="dcterms:W3CDTF">2024-03-04T19:25:00Z</dcterms:created>
  <dcterms:modified xsi:type="dcterms:W3CDTF">2025-07-18T20:03:00Z</dcterms:modified>
</cp:coreProperties>
</file>