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A733EE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757185F1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903344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1A5486">
        <w:rPr>
          <w:rFonts w:eastAsia="Merriweather"/>
          <w:color w:val="000000" w:themeColor="text1"/>
          <w:sz w:val="22"/>
          <w:szCs w:val="22"/>
        </w:rPr>
        <w:t>Obras, Serviços e Desenvolvimento Urbano</w:t>
      </w:r>
    </w:p>
    <w:p w14:paraId="6694B461" w14:textId="77268A26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1A5486">
        <w:rPr>
          <w:rFonts w:eastAsia="Merriweather"/>
          <w:color w:val="000000" w:themeColor="text1"/>
          <w:sz w:val="22"/>
          <w:szCs w:val="22"/>
        </w:rPr>
        <w:t>Romulo Ramalho Farias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5B95384E" w14:textId="77777777" w:rsidR="00DF33BC" w:rsidRDefault="008E1909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DF33BC" w:rsidRPr="008324BB">
        <w:t xml:space="preserve">O problema a ser resolvido é </w:t>
      </w:r>
      <w:r w:rsidR="00DF33BC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069DDD4F" w14:textId="77777777" w:rsidR="00DF33BC" w:rsidRDefault="00DF33BC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713FD26C" w14:textId="77777777" w:rsidR="00DF33BC" w:rsidRDefault="00DF33BC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38787850" w14:textId="77777777" w:rsidR="00DF33BC" w:rsidRDefault="00DF33BC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00AC714E" w14:textId="77777777" w:rsidR="00DF33BC" w:rsidRDefault="00DF33BC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72836173" w14:textId="77777777" w:rsidR="00DF33BC" w:rsidRDefault="00DF33BC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353E67C0" w14:textId="77777777" w:rsidR="00DF33BC" w:rsidRDefault="00DF33BC" w:rsidP="00DF33B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361EF037" w:rsidR="00F65E92" w:rsidRPr="0024320E" w:rsidRDefault="00F65E92" w:rsidP="00DF33BC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77777777" w:rsidR="00536351" w:rsidRP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64FE51E7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B98F312" w14:textId="05B1BF73" w:rsidR="00E56959" w:rsidRDefault="00E56959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F0A6450" w14:textId="77777777" w:rsidR="00E56959" w:rsidRDefault="00E56959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42BDF1C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gramStart"/>
      <w:r w:rsidR="001A5486">
        <w:rPr>
          <w:rFonts w:eastAsia="Merriweather"/>
          <w:color w:val="000000" w:themeColor="text1"/>
          <w:sz w:val="22"/>
          <w:szCs w:val="22"/>
        </w:rPr>
        <w:t>7.944,,</w:t>
      </w:r>
      <w:proofErr w:type="gramEnd"/>
      <w:r w:rsidR="001A5486">
        <w:rPr>
          <w:rFonts w:eastAsia="Merriweather"/>
          <w:color w:val="000000" w:themeColor="text1"/>
          <w:sz w:val="22"/>
          <w:szCs w:val="22"/>
        </w:rPr>
        <w:t>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E3C9C0F" w14:textId="6CEBFAFC" w:rsidR="00703777" w:rsidRPr="00AB7EDC" w:rsidRDefault="001A5486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>
        <w:rPr>
          <w:rFonts w:eastAsia="Merriweather"/>
          <w:b/>
          <w:bCs/>
          <w:color w:val="000000" w:themeColor="text1"/>
          <w:sz w:val="22"/>
          <w:szCs w:val="22"/>
        </w:rPr>
        <w:t>ROMULO RAMALHO FARIAS</w:t>
      </w:r>
    </w:p>
    <w:p w14:paraId="5103F8A6" w14:textId="1DF6A992" w:rsidR="00005908" w:rsidRPr="005068F4" w:rsidRDefault="00AB7EDC" w:rsidP="00AB7EDC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Secret</w:t>
      </w:r>
      <w:r>
        <w:rPr>
          <w:rFonts w:eastAsia="Merriweather"/>
          <w:color w:val="000000" w:themeColor="text1"/>
          <w:sz w:val="22"/>
          <w:szCs w:val="22"/>
        </w:rPr>
        <w:t>á</w:t>
      </w:r>
      <w:r w:rsidRPr="002E28B4">
        <w:rPr>
          <w:rFonts w:eastAsia="Merriweather"/>
          <w:color w:val="000000" w:themeColor="text1"/>
          <w:sz w:val="22"/>
          <w:szCs w:val="22"/>
        </w:rPr>
        <w:t>ri</w:t>
      </w:r>
      <w:r>
        <w:rPr>
          <w:rFonts w:eastAsia="Merriweather"/>
          <w:color w:val="000000" w:themeColor="text1"/>
          <w:sz w:val="22"/>
          <w:szCs w:val="22"/>
        </w:rPr>
        <w:t>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 xml:space="preserve">de </w:t>
      </w:r>
      <w:r w:rsidR="001A5486">
        <w:rPr>
          <w:rFonts w:eastAsia="Merriweather"/>
          <w:color w:val="000000" w:themeColor="text1"/>
          <w:sz w:val="22"/>
          <w:szCs w:val="22"/>
        </w:rPr>
        <w:t>Obras, Serviço e Desenvolvimento Urbano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1DBD5" w14:textId="77777777" w:rsidR="00A733EE" w:rsidRDefault="00A733EE">
      <w:pPr>
        <w:spacing w:line="240" w:lineRule="auto"/>
        <w:ind w:left="0" w:hanging="2"/>
      </w:pPr>
      <w:r>
        <w:separator/>
      </w:r>
    </w:p>
  </w:endnote>
  <w:endnote w:type="continuationSeparator" w:id="0">
    <w:p w14:paraId="050EB3C1" w14:textId="77777777" w:rsidR="00A733EE" w:rsidRDefault="00A733E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82A92" w14:textId="77777777" w:rsidR="00A733EE" w:rsidRDefault="00A733EE">
      <w:pPr>
        <w:spacing w:line="240" w:lineRule="auto"/>
        <w:ind w:left="0" w:hanging="2"/>
      </w:pPr>
      <w:r>
        <w:separator/>
      </w:r>
    </w:p>
  </w:footnote>
  <w:footnote w:type="continuationSeparator" w:id="0">
    <w:p w14:paraId="73CAF413" w14:textId="77777777" w:rsidR="00A733EE" w:rsidRDefault="00A733E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46B55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A5486"/>
    <w:rsid w:val="001B0468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648B6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370FC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3777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03344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422D8"/>
    <w:rsid w:val="00A5278C"/>
    <w:rsid w:val="00A60963"/>
    <w:rsid w:val="00A60B9A"/>
    <w:rsid w:val="00A733EE"/>
    <w:rsid w:val="00A74EBF"/>
    <w:rsid w:val="00A77124"/>
    <w:rsid w:val="00A83C36"/>
    <w:rsid w:val="00A857E4"/>
    <w:rsid w:val="00A924F1"/>
    <w:rsid w:val="00A95344"/>
    <w:rsid w:val="00A96DB4"/>
    <w:rsid w:val="00AA2FD2"/>
    <w:rsid w:val="00AB7EDC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65B90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1D63"/>
    <w:rsid w:val="00DB4712"/>
    <w:rsid w:val="00DD4886"/>
    <w:rsid w:val="00DE62FD"/>
    <w:rsid w:val="00DE73FC"/>
    <w:rsid w:val="00DF33B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56959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3769D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1343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</cp:revision>
  <cp:lastPrinted>2025-02-24T12:31:00Z</cp:lastPrinted>
  <dcterms:created xsi:type="dcterms:W3CDTF">2025-02-21T17:12:00Z</dcterms:created>
  <dcterms:modified xsi:type="dcterms:W3CDTF">2025-02-24T12:31:00Z</dcterms:modified>
</cp:coreProperties>
</file>