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362" w:hanging="2"/>
        <w:jc w:val="center"/>
        <w:rPr>
          <w:b w:val="1"/>
          <w:bCs w:val="1"/>
          <w:sz w:val="36"/>
          <w:szCs w:val="36"/>
          <w:u w:val="single"/>
        </w:rPr>
      </w:pPr>
      <w:r w:rsidDel="00000000" w:rsidR="00000000" w:rsidRPr="00000000">
        <w:rPr>
          <w:b w:val="1"/>
          <w:bCs w:val="1"/>
          <w:sz w:val="36"/>
          <w:szCs w:val="36"/>
          <w:u w:val="single"/>
          <w:rtl w:val="0"/>
        </w:rPr>
        <w:t xml:space="preserve">TERMO DE REFERÊNCIA.</w:t>
      </w:r>
      <w:r w:rsidDel="00000000" w:rsidR="00000000" w:rsidRPr="00000000">
        <mc:AlternateContent>
          <mc:Choice Requires="wpg">
            <w:drawing>
              <wp:anchor allowOverlap="1" behindDoc="0" distB="0" distT="0" distL="635" distR="0" hidden="0" layoutInCell="1" locked="0" relativeHeight="0" simplePos="0">
                <wp:simplePos x="0" y="0"/>
                <wp:positionH relativeFrom="column">
                  <wp:posOffset>-18409</wp:posOffset>
                </wp:positionH>
                <wp:positionV relativeFrom="paragraph">
                  <wp:posOffset>-19043</wp:posOffset>
                </wp:positionV>
                <wp:extent cx="711200" cy="711200"/>
                <wp:effectExtent b="0" l="0" r="0" t="0"/>
                <wp:wrapNone/>
                <wp:docPr id="86" name=""/>
                <a:graphic>
                  <a:graphicData uri="http://schemas.microsoft.com/office/word/2010/wordprocessingShape">
                    <wps:wsp>
                      <wps:cNvSpPr/>
                      <wps:cNvPr id="4" name="Shape 4"/>
                      <wps:spPr>
                        <a:xfrm>
                          <a:off x="5028480" y="3462480"/>
                          <a:ext cx="635040" cy="6350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635" distR="0" hidden="0" layoutInCell="1" locked="0" relativeHeight="0" simplePos="0">
                <wp:simplePos x="0" y="0"/>
                <wp:positionH relativeFrom="column">
                  <wp:posOffset>-18409</wp:posOffset>
                </wp:positionH>
                <wp:positionV relativeFrom="paragraph">
                  <wp:posOffset>-19043</wp:posOffset>
                </wp:positionV>
                <wp:extent cx="711200" cy="711200"/>
                <wp:effectExtent b="0" l="0" r="0" t="0"/>
                <wp:wrapNone/>
                <wp:docPr id="8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11200" cy="711200"/>
                        </a:xfrm>
                        <a:prstGeom prst="rect"/>
                        <a:ln/>
                      </pic:spPr>
                    </pic:pic>
                  </a:graphicData>
                </a:graphic>
              </wp:anchor>
            </w:drawing>
          </mc:Fallback>
        </mc:AlternateContent>
      </w:r>
    </w:p>
    <w:p w:rsidR="00000000" w:rsidDel="00000000" w:rsidP="00000000" w:rsidRDefault="00000000" w:rsidRPr="00000000" w14:paraId="00000002">
      <w:pPr>
        <w:ind w:right="-362" w:hanging="2"/>
        <w:jc w:val="center"/>
        <w:rPr>
          <w:b w:val="1"/>
          <w:bCs w:val="1"/>
        </w:rPr>
      </w:pPr>
      <w:r w:rsidDel="00000000" w:rsidR="00000000" w:rsidRPr="00000000">
        <w:rPr>
          <w:b w:val="1"/>
          <w:bCs w:val="1"/>
          <w:rtl w:val="0"/>
        </w:rPr>
        <w:t xml:space="preserve">PROCESSO ADMINISTRATIVO Nº        /2026.</w:t>
      </w:r>
    </w:p>
    <w:p w:rsidR="00000000" w:rsidDel="00000000" w:rsidP="00000000" w:rsidRDefault="00000000" w:rsidRPr="00000000" w14:paraId="00000003">
      <w:pPr>
        <w:ind w:right="-362" w:hanging="2"/>
        <w:jc w:val="center"/>
        <w:rPr>
          <w:b w:val="1"/>
          <w:bCs w:val="1"/>
          <w:sz w:val="22"/>
          <w:szCs w:val="22"/>
        </w:rPr>
      </w:pPr>
      <w:r w:rsidDel="00000000" w:rsidR="00000000" w:rsidRPr="00000000">
        <w:rPr>
          <w:rtl w:val="0"/>
        </w:rPr>
      </w:r>
    </w:p>
    <w:p w:rsidR="00000000" w:rsidDel="00000000" w:rsidP="00000000" w:rsidRDefault="00000000" w:rsidRPr="00000000" w14:paraId="00000004">
      <w:pPr>
        <w:shd w:fill="d9d9d9" w:val="clear"/>
        <w:ind w:right="-362" w:hanging="2"/>
        <w:jc w:val="both"/>
        <w:rPr>
          <w:b w:val="1"/>
          <w:bCs w:val="1"/>
        </w:rPr>
      </w:pPr>
      <w:r w:rsidDel="00000000" w:rsidR="00000000" w:rsidRPr="00000000">
        <w:rPr>
          <w:b w:val="1"/>
          <w:bCs w:val="1"/>
          <w:rtl w:val="0"/>
        </w:rPr>
        <w:t xml:space="preserve">1. CONDIÇÕES GERAIS DA CONTRATAÇÃO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84"/>
        </w:tabs>
        <w:ind w:right="-362" w:firstLine="0"/>
        <w:jc w:val="both"/>
        <w:rPr>
          <w:color w:val="000000"/>
        </w:rPr>
      </w:pPr>
      <w:bookmarkStart w:colFirst="0" w:colLast="0" w:name="_heading=h.3d98izepzrcs" w:id="0"/>
      <w:bookmarkEnd w:id="0"/>
      <w:r w:rsidDel="00000000" w:rsidR="00000000" w:rsidRPr="00000000">
        <w:rPr>
          <w:color w:val="000000"/>
          <w:rtl w:val="0"/>
        </w:rPr>
        <w:t xml:space="preserve">1.1. </w:t>
      </w:r>
      <w:r w:rsidDel="00000000" w:rsidR="00000000" w:rsidRPr="00000000">
        <w:rPr>
          <w:highlight w:val="white"/>
          <w:rtl w:val="0"/>
        </w:rPr>
        <w:t xml:space="preserve">Aquisição de itens contendo itens de beleza, destinados à distribuição em oficinas, palestras e demais atividades voltadas ao estímulo do cuidado pessoal,</w:t>
      </w:r>
      <w:r w:rsidDel="00000000" w:rsidR="00000000" w:rsidRPr="00000000">
        <w:rPr>
          <w:color w:val="000000"/>
          <w:rtl w:val="0"/>
        </w:rPr>
        <w:t xml:space="preserve"> nos termos da tabela abaixo, conforme condições e exigências estabelecidas neste instrumento.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284"/>
        </w:tabs>
        <w:ind w:right="-362" w:firstLine="0"/>
        <w:jc w:val="both"/>
        <w:rPr/>
      </w:pPr>
      <w:bookmarkStart w:colFirst="0" w:colLast="0" w:name="_heading=h.eevnadc9yy9w" w:id="1"/>
      <w:bookmarkEnd w:id="1"/>
      <w:r w:rsidDel="00000000" w:rsidR="00000000" w:rsidRPr="00000000">
        <w:rPr>
          <w:rtl w:val="0"/>
        </w:rPr>
      </w:r>
    </w:p>
    <w:p w:rsidR="00000000" w:rsidDel="00000000" w:rsidP="00000000" w:rsidRDefault="00000000" w:rsidRPr="00000000" w14:paraId="00000007">
      <w:pPr>
        <w:shd w:fill="d9d9d9" w:val="clear"/>
        <w:ind w:right="-362" w:hanging="2"/>
        <w:jc w:val="both"/>
        <w:rPr>
          <w:b w:val="1"/>
          <w:bCs w:val="1"/>
        </w:rPr>
      </w:pPr>
      <w:r w:rsidDel="00000000" w:rsidR="00000000" w:rsidRPr="00000000">
        <w:rPr>
          <w:b w:val="1"/>
          <w:bCs w:val="1"/>
          <w:rtl w:val="0"/>
        </w:rPr>
        <w:t xml:space="preserve">2. ESPECIFICAÇÕES, QUANTIDADES E VALORES</w:t>
      </w:r>
    </w:p>
    <w:p w:rsidR="00000000" w:rsidDel="00000000" w:rsidP="00000000" w:rsidRDefault="00000000" w:rsidRPr="00000000" w14:paraId="00000008">
      <w:pPr>
        <w:spacing w:line="276" w:lineRule="auto"/>
        <w:ind w:right="-357" w:firstLine="0"/>
        <w:jc w:val="both"/>
        <w:rPr/>
      </w:pPr>
      <w:r w:rsidDel="00000000" w:rsidR="00000000" w:rsidRPr="00000000">
        <w:rPr>
          <w:rtl w:val="0"/>
        </w:rPr>
        <w:t xml:space="preserve">2.1. As especificações, quantidades e valores são as constantes abaixo, sendo parte integrante do edital convocatório.</w:t>
      </w:r>
    </w:p>
    <w:p w:rsidR="00000000" w:rsidDel="00000000" w:rsidP="00000000" w:rsidRDefault="00000000" w:rsidRPr="00000000" w14:paraId="00000009">
      <w:pPr>
        <w:ind w:right="-2" w:firstLine="0"/>
        <w:jc w:val="both"/>
        <w:rPr>
          <w:sz w:val="22"/>
          <w:szCs w:val="22"/>
        </w:rPr>
      </w:pPr>
      <w:r w:rsidDel="00000000" w:rsidR="00000000" w:rsidRPr="00000000">
        <w:rPr>
          <w:rtl w:val="0"/>
        </w:rPr>
      </w:r>
    </w:p>
    <w:tbl>
      <w:tblPr>
        <w:tblStyle w:val="Table1"/>
        <w:tblW w:w="9701.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8.9441329741312"/>
        <w:gridCol w:w="768.9441329741312"/>
        <w:gridCol w:w="3485.8800694827282"/>
        <w:gridCol w:w="1140.600463911628"/>
        <w:gridCol w:w="1076.5217861637839"/>
        <w:gridCol w:w="1050.890315064646"/>
        <w:gridCol w:w="1409.730910452574"/>
        <w:tblGridChange w:id="0">
          <w:tblGrid>
            <w:gridCol w:w="768.9441329741312"/>
            <w:gridCol w:w="768.9441329741312"/>
            <w:gridCol w:w="3485.8800694827282"/>
            <w:gridCol w:w="1140.600463911628"/>
            <w:gridCol w:w="1076.5217861637839"/>
            <w:gridCol w:w="1050.890315064646"/>
            <w:gridCol w:w="1409.730910452574"/>
          </w:tblGrid>
        </w:tblGridChange>
      </w:tblGrid>
      <w:tr>
        <w:trPr>
          <w:cantSplit w:val="0"/>
          <w:trHeight w:val="495" w:hRule="atLeast"/>
          <w:tblHeader w:val="1"/>
        </w:trPr>
        <w:tc>
          <w:tcPr>
            <w:gridSpan w:val="7"/>
            <w:tcBorders>
              <w:top w:color="000000" w:space="0" w:sz="5" w:val="single"/>
              <w:left w:color="000000" w:space="0" w:sz="5" w:val="single"/>
              <w:bottom w:color="000000" w:space="0" w:sz="5" w:val="single"/>
              <w:right w:color="000000" w:space="0" w:sz="5" w:val="single"/>
            </w:tcBorders>
            <w:shd w:fill="f1f3f4" w:val="clear"/>
            <w:tcMar>
              <w:top w:w="0.0" w:type="dxa"/>
              <w:left w:w="40.0" w:type="dxa"/>
              <w:bottom w:w="0.0" w:type="dxa"/>
              <w:right w:w="40.0" w:type="dxa"/>
            </w:tcMar>
            <w:vAlign w:val="center"/>
          </w:tcPr>
          <w:p w:rsidR="00000000" w:rsidDel="00000000" w:rsidP="00000000" w:rsidRDefault="00000000" w:rsidRPr="00000000" w14:paraId="0000000A">
            <w:pPr>
              <w:pStyle w:val="Heading2"/>
              <w:widowControl w:val="0"/>
              <w:spacing w:after="120" w:before="120" w:line="276" w:lineRule="auto"/>
              <w:ind w:firstLine="0"/>
              <w:jc w:val="center"/>
              <w:rPr/>
            </w:pPr>
            <w:bookmarkStart w:colFirst="0" w:colLast="0" w:name="_heading=h.l1whn11xbfnw" w:id="2"/>
            <w:bookmarkEnd w:id="2"/>
            <w:r w:rsidDel="00000000" w:rsidR="00000000" w:rsidRPr="00000000">
              <w:rPr>
                <w:rtl w:val="0"/>
              </w:rPr>
              <w:t xml:space="preserve">LOTE ÚNICO</w:t>
            </w:r>
            <w:r w:rsidDel="00000000" w:rsidR="00000000" w:rsidRPr="00000000">
              <w:rPr>
                <w:rtl w:val="0"/>
              </w:rPr>
            </w:r>
          </w:p>
        </w:tc>
      </w:tr>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1">
            <w:pPr>
              <w:widowControl w:val="0"/>
              <w:spacing w:line="276" w:lineRule="auto"/>
              <w:ind w:firstLine="0"/>
              <w:jc w:val="center"/>
              <w:rPr>
                <w:sz w:val="22"/>
                <w:szCs w:val="22"/>
              </w:rPr>
            </w:pPr>
            <w:r w:rsidDel="00000000" w:rsidR="00000000" w:rsidRPr="00000000">
              <w:rPr>
                <w:b w:val="1"/>
                <w:bCs w:val="1"/>
                <w:sz w:val="16"/>
                <w:szCs w:val="16"/>
                <w:rtl w:val="0"/>
              </w:rPr>
              <w:t xml:space="preserve">ITEM</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12">
            <w:pPr>
              <w:widowControl w:val="0"/>
              <w:spacing w:line="276" w:lineRule="auto"/>
              <w:ind w:firstLine="0"/>
              <w:jc w:val="center"/>
              <w:rPr>
                <w:sz w:val="22"/>
                <w:szCs w:val="22"/>
              </w:rPr>
            </w:pPr>
            <w:r w:rsidDel="00000000" w:rsidR="00000000" w:rsidRPr="00000000">
              <w:rPr>
                <w:b w:val="1"/>
                <w:bCs w:val="1"/>
                <w:sz w:val="16"/>
                <w:szCs w:val="16"/>
                <w:rtl w:val="0"/>
              </w:rPr>
              <w:t xml:space="preserve">UND</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13">
            <w:pPr>
              <w:widowControl w:val="0"/>
              <w:spacing w:line="276" w:lineRule="auto"/>
              <w:ind w:firstLine="0"/>
              <w:jc w:val="center"/>
              <w:rPr>
                <w:sz w:val="22"/>
                <w:szCs w:val="22"/>
              </w:rPr>
            </w:pPr>
            <w:r w:rsidDel="00000000" w:rsidR="00000000" w:rsidRPr="00000000">
              <w:rPr>
                <w:b w:val="1"/>
                <w:bCs w:val="1"/>
                <w:sz w:val="20"/>
                <w:szCs w:val="20"/>
                <w:rtl w:val="0"/>
              </w:rPr>
              <w:t xml:space="preserve">DESCRIÇÃO DO ITEM</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14">
            <w:pPr>
              <w:widowControl w:val="0"/>
              <w:spacing w:line="276" w:lineRule="auto"/>
              <w:ind w:firstLine="0"/>
              <w:jc w:val="center"/>
              <w:rPr>
                <w:sz w:val="22"/>
                <w:szCs w:val="22"/>
              </w:rPr>
            </w:pPr>
            <w:r w:rsidDel="00000000" w:rsidR="00000000" w:rsidRPr="00000000">
              <w:rPr>
                <w:b w:val="1"/>
                <w:bCs w:val="1"/>
                <w:sz w:val="20"/>
                <w:szCs w:val="20"/>
                <w:rtl w:val="0"/>
              </w:rPr>
              <w:t xml:space="preserve">CÓDIGO CATMAT</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015">
            <w:pPr>
              <w:widowControl w:val="0"/>
              <w:spacing w:line="276" w:lineRule="auto"/>
              <w:ind w:firstLine="0"/>
              <w:jc w:val="center"/>
              <w:rPr>
                <w:sz w:val="22"/>
                <w:szCs w:val="22"/>
              </w:rPr>
            </w:pPr>
            <w:r w:rsidDel="00000000" w:rsidR="00000000" w:rsidRPr="00000000">
              <w:rPr>
                <w:b w:val="1"/>
                <w:bCs w:val="1"/>
                <w:sz w:val="20"/>
                <w:szCs w:val="20"/>
                <w:rtl w:val="0"/>
              </w:rPr>
              <w:t xml:space="preserve">QTD TOTAL</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6">
            <w:pPr>
              <w:widowControl w:val="0"/>
              <w:spacing w:line="276" w:lineRule="auto"/>
              <w:ind w:firstLine="0"/>
              <w:jc w:val="center"/>
              <w:rPr>
                <w:sz w:val="22"/>
                <w:szCs w:val="22"/>
              </w:rPr>
            </w:pPr>
            <w:r w:rsidDel="00000000" w:rsidR="00000000" w:rsidRPr="00000000">
              <w:rPr>
                <w:b w:val="1"/>
                <w:bCs w:val="1"/>
                <w:sz w:val="20"/>
                <w:szCs w:val="20"/>
                <w:rtl w:val="0"/>
              </w:rPr>
              <w:t xml:space="preserve">Média Geral</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7">
            <w:pPr>
              <w:widowControl w:val="0"/>
              <w:spacing w:line="276" w:lineRule="auto"/>
              <w:ind w:firstLine="0"/>
              <w:jc w:val="center"/>
              <w:rPr>
                <w:sz w:val="22"/>
                <w:szCs w:val="22"/>
              </w:rPr>
            </w:pPr>
            <w:r w:rsidDel="00000000" w:rsidR="00000000" w:rsidRPr="00000000">
              <w:rPr>
                <w:b w:val="1"/>
                <w:bCs w:val="1"/>
                <w:sz w:val="20"/>
                <w:szCs w:val="20"/>
                <w:rtl w:val="0"/>
              </w:rPr>
              <w:t xml:space="preserve">Valor total</w:t>
            </w:r>
            <w:r w:rsidDel="00000000" w:rsidR="00000000" w:rsidRPr="00000000">
              <w:rPr>
                <w:rtl w:val="0"/>
              </w:rPr>
            </w:r>
          </w:p>
        </w:tc>
      </w:tr>
      <w:tr>
        <w:trPr>
          <w:cantSplit w:val="0"/>
          <w:trHeight w:val="73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8">
            <w:pPr>
              <w:widowControl w:val="0"/>
              <w:spacing w:line="276" w:lineRule="auto"/>
              <w:ind w:firstLine="0"/>
              <w:jc w:val="center"/>
              <w:rPr>
                <w:sz w:val="22"/>
                <w:szCs w:val="22"/>
              </w:rPr>
            </w:pPr>
            <w:r w:rsidDel="00000000" w:rsidR="00000000" w:rsidRPr="00000000">
              <w:rPr>
                <w:sz w:val="16"/>
                <w:szCs w:val="16"/>
                <w:rtl w:val="0"/>
              </w:rPr>
              <w:t xml:space="preserve">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9">
            <w:pPr>
              <w:widowControl w:val="0"/>
              <w:spacing w:line="276" w:lineRule="auto"/>
              <w:ind w:firstLine="0"/>
              <w:jc w:val="center"/>
              <w:rPr>
                <w:sz w:val="22"/>
                <w:szCs w:val="22"/>
              </w:rPr>
            </w:pPr>
            <w:r w:rsidDel="00000000" w:rsidR="00000000" w:rsidRPr="00000000">
              <w:rPr>
                <w:sz w:val="16"/>
                <w:szCs w:val="16"/>
                <w:rtl w:val="0"/>
              </w:rPr>
              <w:t xml:space="preserve">unid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A">
            <w:pPr>
              <w:widowControl w:val="0"/>
              <w:spacing w:line="276" w:lineRule="auto"/>
              <w:ind w:firstLine="0"/>
              <w:jc w:val="center"/>
              <w:rPr>
                <w:sz w:val="22"/>
                <w:szCs w:val="22"/>
              </w:rPr>
            </w:pPr>
            <w:r w:rsidDel="00000000" w:rsidR="00000000" w:rsidRPr="00000000">
              <w:rPr>
                <w:sz w:val="20"/>
                <w:szCs w:val="20"/>
                <w:rtl w:val="0"/>
              </w:rPr>
              <w:t xml:space="preserve">Nécessaire impermeável à água. Abertura e fechamento em zíper. Dimensões mínimas: 12 cm (altura), 20 cm (largura)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1B">
            <w:pPr>
              <w:widowControl w:val="0"/>
              <w:spacing w:line="276" w:lineRule="auto"/>
              <w:ind w:firstLine="0"/>
              <w:jc w:val="center"/>
              <w:rPr>
                <w:sz w:val="22"/>
                <w:szCs w:val="22"/>
              </w:rPr>
            </w:pPr>
            <w:r w:rsidDel="00000000" w:rsidR="00000000" w:rsidRPr="00000000">
              <w:rPr>
                <w:color w:val="495057"/>
                <w:sz w:val="20"/>
                <w:szCs w:val="20"/>
                <w:rtl w:val="0"/>
              </w:rPr>
              <w:t xml:space="preserve">619398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01C">
            <w:pPr>
              <w:widowControl w:val="0"/>
              <w:spacing w:line="276" w:lineRule="auto"/>
              <w:ind w:firstLine="0"/>
              <w:jc w:val="center"/>
              <w:rPr>
                <w:sz w:val="22"/>
                <w:szCs w:val="22"/>
              </w:rPr>
            </w:pPr>
            <w:r w:rsidDel="00000000" w:rsidR="00000000" w:rsidRPr="00000000">
              <w:rPr>
                <w:sz w:val="20"/>
                <w:szCs w:val="20"/>
                <w:rtl w:val="0"/>
              </w:rPr>
              <w:t xml:space="preserve">1.000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D">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R$ 7,00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E">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R$ 7.000,00</w:t>
            </w:r>
            <w:r w:rsidDel="00000000" w:rsidR="00000000" w:rsidRPr="00000000">
              <w:rPr>
                <w:rtl w:val="0"/>
              </w:rPr>
            </w:r>
          </w:p>
        </w:tc>
      </w:tr>
      <w:tr>
        <w:trPr>
          <w:cantSplit w:val="0"/>
          <w:trHeight w:val="145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1F">
            <w:pPr>
              <w:widowControl w:val="0"/>
              <w:spacing w:line="276" w:lineRule="auto"/>
              <w:ind w:firstLine="0"/>
              <w:jc w:val="center"/>
              <w:rPr>
                <w:sz w:val="22"/>
                <w:szCs w:val="22"/>
              </w:rPr>
            </w:pPr>
            <w:r w:rsidDel="00000000" w:rsidR="00000000" w:rsidRPr="00000000">
              <w:rPr>
                <w:sz w:val="16"/>
                <w:szCs w:val="16"/>
                <w:rtl w:val="0"/>
              </w:rPr>
              <w:t xml:space="preserve">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0">
            <w:pPr>
              <w:widowControl w:val="0"/>
              <w:spacing w:line="276" w:lineRule="auto"/>
              <w:ind w:firstLine="0"/>
              <w:jc w:val="center"/>
              <w:rPr>
                <w:sz w:val="22"/>
                <w:szCs w:val="22"/>
              </w:rPr>
            </w:pPr>
            <w:r w:rsidDel="00000000" w:rsidR="00000000" w:rsidRPr="00000000">
              <w:rPr>
                <w:sz w:val="16"/>
                <w:szCs w:val="16"/>
                <w:rtl w:val="0"/>
              </w:rPr>
              <w:t xml:space="preserve">unid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1">
            <w:pPr>
              <w:widowControl w:val="0"/>
              <w:spacing w:line="276" w:lineRule="auto"/>
              <w:ind w:firstLine="0"/>
              <w:jc w:val="center"/>
              <w:rPr>
                <w:sz w:val="22"/>
                <w:szCs w:val="22"/>
              </w:rPr>
            </w:pPr>
            <w:r w:rsidDel="00000000" w:rsidR="00000000" w:rsidRPr="00000000">
              <w:rPr>
                <w:sz w:val="20"/>
                <w:szCs w:val="20"/>
                <w:rtl w:val="0"/>
              </w:rPr>
              <w:t xml:space="preserve">Escova com espelho. Escova com espelho redonda em plástico resistente. Parte superior plana e parte inferior emborracha com relevo, estando aberta a peça basta empurrar a parte emborrachada (lado de fora) para poder utilizar a escova.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22">
            <w:pPr>
              <w:widowControl w:val="0"/>
              <w:spacing w:line="276" w:lineRule="auto"/>
              <w:ind w:firstLine="0"/>
              <w:jc w:val="center"/>
              <w:rPr>
                <w:sz w:val="22"/>
                <w:szCs w:val="22"/>
              </w:rPr>
            </w:pPr>
            <w:r w:rsidDel="00000000" w:rsidR="00000000" w:rsidRPr="00000000">
              <w:rPr>
                <w:color w:val="495057"/>
                <w:sz w:val="20"/>
                <w:szCs w:val="20"/>
                <w:rtl w:val="0"/>
              </w:rPr>
              <w:t xml:space="preserve">628996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023">
            <w:pPr>
              <w:widowControl w:val="0"/>
              <w:spacing w:line="276" w:lineRule="auto"/>
              <w:ind w:firstLine="0"/>
              <w:jc w:val="center"/>
              <w:rPr>
                <w:sz w:val="22"/>
                <w:szCs w:val="22"/>
              </w:rPr>
            </w:pPr>
            <w:r w:rsidDel="00000000" w:rsidR="00000000" w:rsidRPr="00000000">
              <w:rPr>
                <w:sz w:val="20"/>
                <w:szCs w:val="20"/>
                <w:rtl w:val="0"/>
              </w:rPr>
              <w:t xml:space="preserve">1.000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4">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R$ 6,00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5">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R$ 6.000,00</w:t>
            </w:r>
            <w:r w:rsidDel="00000000" w:rsidR="00000000" w:rsidRPr="00000000">
              <w:rPr>
                <w:rtl w:val="0"/>
              </w:rPr>
            </w:r>
          </w:p>
        </w:tc>
      </w:tr>
      <w:tr>
        <w:trPr>
          <w:cantSplit w:val="0"/>
          <w:trHeight w:val="495"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6">
            <w:pPr>
              <w:widowControl w:val="0"/>
              <w:spacing w:line="276" w:lineRule="auto"/>
              <w:ind w:firstLine="0"/>
              <w:jc w:val="center"/>
              <w:rPr>
                <w:sz w:val="22"/>
                <w:szCs w:val="22"/>
              </w:rPr>
            </w:pPr>
            <w:r w:rsidDel="00000000" w:rsidR="00000000" w:rsidRPr="00000000">
              <w:rPr>
                <w:sz w:val="16"/>
                <w:szCs w:val="16"/>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7">
            <w:pPr>
              <w:widowControl w:val="0"/>
              <w:spacing w:line="276" w:lineRule="auto"/>
              <w:ind w:firstLine="0"/>
              <w:jc w:val="center"/>
              <w:rPr>
                <w:sz w:val="22"/>
                <w:szCs w:val="22"/>
              </w:rPr>
            </w:pPr>
            <w:r w:rsidDel="00000000" w:rsidR="00000000" w:rsidRPr="00000000">
              <w:rPr>
                <w:sz w:val="16"/>
                <w:szCs w:val="16"/>
                <w:rtl w:val="0"/>
              </w:rPr>
              <w:t xml:space="preserve">unid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8">
            <w:pPr>
              <w:widowControl w:val="0"/>
              <w:spacing w:line="276" w:lineRule="auto"/>
              <w:ind w:firstLine="0"/>
              <w:jc w:val="center"/>
              <w:rPr>
                <w:sz w:val="22"/>
                <w:szCs w:val="22"/>
              </w:rPr>
            </w:pPr>
            <w:r w:rsidDel="00000000" w:rsidR="00000000" w:rsidRPr="00000000">
              <w:rPr>
                <w:sz w:val="20"/>
                <w:szCs w:val="20"/>
                <w:rtl w:val="0"/>
              </w:rPr>
              <w:t xml:space="preserve">Escovinha de Alongamento para Cílios e Sobrancelha Descartável.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29">
            <w:pPr>
              <w:widowControl w:val="0"/>
              <w:spacing w:line="276" w:lineRule="auto"/>
              <w:ind w:firstLine="0"/>
              <w:jc w:val="center"/>
              <w:rPr>
                <w:sz w:val="22"/>
                <w:szCs w:val="22"/>
              </w:rPr>
            </w:pPr>
            <w:r w:rsidDel="00000000" w:rsidR="00000000" w:rsidRPr="00000000">
              <w:rPr>
                <w:color w:val="495057"/>
                <w:sz w:val="20"/>
                <w:szCs w:val="20"/>
                <w:rtl w:val="0"/>
              </w:rPr>
              <w:t xml:space="preserve">617105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02A">
            <w:pPr>
              <w:widowControl w:val="0"/>
              <w:spacing w:line="276" w:lineRule="auto"/>
              <w:ind w:firstLine="0"/>
              <w:jc w:val="center"/>
              <w:rPr>
                <w:sz w:val="22"/>
                <w:szCs w:val="22"/>
              </w:rPr>
            </w:pPr>
            <w:r w:rsidDel="00000000" w:rsidR="00000000" w:rsidRPr="00000000">
              <w:rPr>
                <w:sz w:val="20"/>
                <w:szCs w:val="20"/>
                <w:rtl w:val="0"/>
              </w:rPr>
              <w:t xml:space="preserve">1.000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B">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R$ 0,20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C">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R$ 200,00</w:t>
            </w:r>
            <w:r w:rsidDel="00000000" w:rsidR="00000000" w:rsidRPr="00000000">
              <w:rPr>
                <w:rtl w:val="0"/>
              </w:rPr>
            </w:r>
          </w:p>
        </w:tc>
      </w:tr>
      <w:tr>
        <w:trPr>
          <w:cantSplit w:val="0"/>
          <w:trHeight w:val="27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D">
            <w:pPr>
              <w:widowControl w:val="0"/>
              <w:spacing w:line="276" w:lineRule="auto"/>
              <w:ind w:firstLine="0"/>
              <w:jc w:val="center"/>
              <w:rPr>
                <w:sz w:val="22"/>
                <w:szCs w:val="22"/>
              </w:rPr>
            </w:pPr>
            <w:r w:rsidDel="00000000" w:rsidR="00000000" w:rsidRPr="00000000">
              <w:rPr>
                <w:sz w:val="16"/>
                <w:szCs w:val="16"/>
                <w:rtl w:val="0"/>
              </w:rPr>
              <w:t xml:space="preserve">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E">
            <w:pPr>
              <w:widowControl w:val="0"/>
              <w:spacing w:line="276" w:lineRule="auto"/>
              <w:ind w:firstLine="0"/>
              <w:jc w:val="center"/>
              <w:rPr>
                <w:sz w:val="22"/>
                <w:szCs w:val="22"/>
              </w:rPr>
            </w:pPr>
            <w:r w:rsidDel="00000000" w:rsidR="00000000" w:rsidRPr="00000000">
              <w:rPr>
                <w:sz w:val="16"/>
                <w:szCs w:val="16"/>
                <w:rtl w:val="0"/>
              </w:rPr>
              <w:t xml:space="preserve">unid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2F">
            <w:pPr>
              <w:widowControl w:val="0"/>
              <w:spacing w:line="276" w:lineRule="auto"/>
              <w:ind w:firstLine="0"/>
              <w:jc w:val="center"/>
              <w:rPr>
                <w:sz w:val="22"/>
                <w:szCs w:val="22"/>
              </w:rPr>
            </w:pPr>
            <w:r w:rsidDel="00000000" w:rsidR="00000000" w:rsidRPr="00000000">
              <w:rPr>
                <w:sz w:val="20"/>
                <w:szCs w:val="20"/>
                <w:rtl w:val="0"/>
              </w:rPr>
              <w:t xml:space="preserve">Mini lixa de unha descartável cor rosa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30">
            <w:pPr>
              <w:widowControl w:val="0"/>
              <w:spacing w:line="276" w:lineRule="auto"/>
              <w:ind w:firstLine="0"/>
              <w:jc w:val="center"/>
              <w:rPr>
                <w:sz w:val="22"/>
                <w:szCs w:val="22"/>
              </w:rPr>
            </w:pPr>
            <w:r w:rsidDel="00000000" w:rsidR="00000000" w:rsidRPr="00000000">
              <w:rPr>
                <w:color w:val="495057"/>
                <w:sz w:val="20"/>
                <w:szCs w:val="20"/>
                <w:rtl w:val="0"/>
              </w:rPr>
              <w:t xml:space="preserve">613635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031">
            <w:pPr>
              <w:widowControl w:val="0"/>
              <w:spacing w:line="276" w:lineRule="auto"/>
              <w:ind w:firstLine="0"/>
              <w:jc w:val="center"/>
              <w:rPr>
                <w:sz w:val="22"/>
                <w:szCs w:val="22"/>
              </w:rPr>
            </w:pPr>
            <w:r w:rsidDel="00000000" w:rsidR="00000000" w:rsidRPr="00000000">
              <w:rPr>
                <w:sz w:val="20"/>
                <w:szCs w:val="20"/>
                <w:rtl w:val="0"/>
              </w:rPr>
              <w:t xml:space="preserve">1.000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2">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R$ 0,20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3">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R$ 200,00</w:t>
            </w:r>
            <w:r w:rsidDel="00000000" w:rsidR="00000000" w:rsidRPr="00000000">
              <w:rPr>
                <w:rtl w:val="0"/>
              </w:rPr>
            </w:r>
          </w:p>
        </w:tc>
      </w:tr>
      <w:tr>
        <w:trPr>
          <w:cantSplit w:val="0"/>
          <w:trHeight w:val="270" w:hRule="atLeast"/>
          <w:tblHeader w:val="0"/>
        </w:trPr>
        <w:tc>
          <w:tcPr>
            <w:tcBorders>
              <w:top w:color="cccccc" w:space="0" w:sz="5" w:val="single"/>
              <w:left w:color="000000"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4">
            <w:pPr>
              <w:widowControl w:val="0"/>
              <w:spacing w:line="276" w:lineRule="auto"/>
              <w:ind w:firstLine="0"/>
              <w:jc w:val="center"/>
              <w:rPr>
                <w:sz w:val="22"/>
                <w:szCs w:val="22"/>
              </w:rPr>
            </w:pPr>
            <w:r w:rsidDel="00000000" w:rsidR="00000000" w:rsidRPr="00000000">
              <w:rPr>
                <w:sz w:val="16"/>
                <w:szCs w:val="16"/>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5">
            <w:pPr>
              <w:widowControl w:val="0"/>
              <w:spacing w:line="276" w:lineRule="auto"/>
              <w:ind w:firstLine="0"/>
              <w:jc w:val="center"/>
              <w:rPr>
                <w:sz w:val="22"/>
                <w:szCs w:val="22"/>
              </w:rPr>
            </w:pPr>
            <w:r w:rsidDel="00000000" w:rsidR="00000000" w:rsidRPr="00000000">
              <w:rPr>
                <w:sz w:val="16"/>
                <w:szCs w:val="16"/>
                <w:rtl w:val="0"/>
              </w:rPr>
              <w:t xml:space="preserve">unid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6">
            <w:pPr>
              <w:widowControl w:val="0"/>
              <w:spacing w:line="276" w:lineRule="auto"/>
              <w:ind w:firstLine="0"/>
              <w:jc w:val="center"/>
              <w:rPr>
                <w:sz w:val="22"/>
                <w:szCs w:val="22"/>
              </w:rPr>
            </w:pPr>
            <w:r w:rsidDel="00000000" w:rsidR="00000000" w:rsidRPr="00000000">
              <w:rPr>
                <w:sz w:val="20"/>
                <w:szCs w:val="20"/>
                <w:rtl w:val="0"/>
              </w:rPr>
              <w:t xml:space="preserve">Batom. Cor nude. Mínimo de 3,5g.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37">
            <w:pPr>
              <w:widowControl w:val="0"/>
              <w:spacing w:line="276" w:lineRule="auto"/>
              <w:ind w:firstLine="0"/>
              <w:jc w:val="center"/>
              <w:rPr>
                <w:sz w:val="22"/>
                <w:szCs w:val="22"/>
              </w:rPr>
            </w:pPr>
            <w:r w:rsidDel="00000000" w:rsidR="00000000" w:rsidRPr="00000000">
              <w:rPr>
                <w:color w:val="495057"/>
                <w:sz w:val="20"/>
                <w:szCs w:val="20"/>
                <w:rtl w:val="0"/>
              </w:rPr>
              <w:t xml:space="preserve">617106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d0cece" w:val="clear"/>
            <w:tcMar>
              <w:top w:w="0.0" w:type="dxa"/>
              <w:left w:w="40.0" w:type="dxa"/>
              <w:bottom w:w="0.0" w:type="dxa"/>
              <w:right w:w="40.0" w:type="dxa"/>
            </w:tcMar>
            <w:vAlign w:val="center"/>
          </w:tcPr>
          <w:p w:rsidR="00000000" w:rsidDel="00000000" w:rsidP="00000000" w:rsidRDefault="00000000" w:rsidRPr="00000000" w14:paraId="00000038">
            <w:pPr>
              <w:widowControl w:val="0"/>
              <w:spacing w:line="276" w:lineRule="auto"/>
              <w:ind w:firstLine="0"/>
              <w:jc w:val="center"/>
              <w:rPr>
                <w:sz w:val="22"/>
                <w:szCs w:val="22"/>
              </w:rPr>
            </w:pPr>
            <w:r w:rsidDel="00000000" w:rsidR="00000000" w:rsidRPr="00000000">
              <w:rPr>
                <w:sz w:val="20"/>
                <w:szCs w:val="20"/>
                <w:rtl w:val="0"/>
              </w:rPr>
              <w:t xml:space="preserve">1.000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9">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R$ 6,00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center"/>
          </w:tcPr>
          <w:p w:rsidR="00000000" w:rsidDel="00000000" w:rsidP="00000000" w:rsidRDefault="00000000" w:rsidRPr="00000000" w14:paraId="0000003A">
            <w:pPr>
              <w:widowControl w:val="0"/>
              <w:spacing w:line="276" w:lineRule="auto"/>
              <w:ind w:firstLine="0"/>
              <w:jc w:val="center"/>
              <w:rPr>
                <w:rFonts w:ascii="Calibri" w:cs="Calibri" w:eastAsia="Calibri" w:hAnsi="Calibri"/>
                <w:sz w:val="22"/>
                <w:szCs w:val="22"/>
              </w:rPr>
            </w:pPr>
            <w:r w:rsidDel="00000000" w:rsidR="00000000" w:rsidRPr="00000000">
              <w:rPr>
                <w:rFonts w:ascii="Arial" w:cs="Arial" w:eastAsia="Arial" w:hAnsi="Arial"/>
                <w:sz w:val="20"/>
                <w:szCs w:val="20"/>
                <w:rtl w:val="0"/>
              </w:rPr>
              <w:t xml:space="preserve">R$ 6.000,00</w:t>
            </w:r>
            <w:r w:rsidDel="00000000" w:rsidR="00000000" w:rsidRPr="00000000">
              <w:rPr>
                <w:rtl w:val="0"/>
              </w:rPr>
            </w:r>
          </w:p>
        </w:tc>
      </w:tr>
      <w:tr>
        <w:trPr>
          <w:cantSplit w:val="0"/>
          <w:trHeight w:val="270" w:hRule="atLeast"/>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3B">
            <w:pPr>
              <w:widowControl w:val="0"/>
              <w:spacing w:line="276" w:lineRule="auto"/>
              <w:ind w:firstLine="0"/>
              <w:rPr>
                <w:sz w:val="22"/>
                <w:szCs w:val="22"/>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3C">
            <w:pPr>
              <w:widowControl w:val="0"/>
              <w:spacing w:line="276" w:lineRule="auto"/>
              <w:ind w:firstLine="0"/>
              <w:rPr>
                <w:sz w:val="22"/>
                <w:szCs w:val="22"/>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3D">
            <w:pPr>
              <w:widowControl w:val="0"/>
              <w:spacing w:line="276" w:lineRule="auto"/>
              <w:ind w:firstLine="0"/>
              <w:rPr>
                <w:sz w:val="22"/>
                <w:szCs w:val="22"/>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3E">
            <w:pPr>
              <w:widowControl w:val="0"/>
              <w:spacing w:line="276" w:lineRule="auto"/>
              <w:ind w:firstLine="0"/>
              <w:rPr>
                <w:sz w:val="22"/>
                <w:szCs w:val="22"/>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3F">
            <w:pPr>
              <w:widowControl w:val="0"/>
              <w:spacing w:line="276" w:lineRule="auto"/>
              <w:ind w:firstLine="0"/>
              <w:rPr>
                <w:sz w:val="22"/>
                <w:szCs w:val="22"/>
              </w:rPr>
            </w:pPr>
            <w:r w:rsidDel="00000000" w:rsidR="00000000" w:rsidRPr="00000000">
              <w:rPr>
                <w:rtl w:val="0"/>
              </w:rPr>
            </w:r>
          </w:p>
        </w:tc>
        <w:tc>
          <w:tcPr>
            <w:tcBorders>
              <w:top w:color="cccccc" w:space="0" w:sz="5" w:val="single"/>
              <w:left w:color="cccccc" w:space="0" w:sz="5" w:val="single"/>
              <w:bottom w:color="cccccc"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0">
            <w:pPr>
              <w:widowControl w:val="0"/>
              <w:spacing w:line="276" w:lineRule="auto"/>
              <w:ind w:firstLine="0"/>
              <w:rPr>
                <w:rFonts w:ascii="Calibri" w:cs="Calibri" w:eastAsia="Calibri" w:hAnsi="Calibri"/>
                <w:sz w:val="22"/>
                <w:szCs w:val="22"/>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41">
            <w:pPr>
              <w:widowControl w:val="0"/>
              <w:spacing w:line="276"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R$ 19.400,00</w:t>
            </w:r>
            <w:r w:rsidDel="00000000" w:rsidR="00000000" w:rsidRPr="00000000">
              <w:rPr>
                <w:rtl w:val="0"/>
              </w:rPr>
            </w:r>
          </w:p>
        </w:tc>
      </w:tr>
    </w:tbl>
    <w:p w:rsidR="00000000" w:rsidDel="00000000" w:rsidP="00000000" w:rsidRDefault="00000000" w:rsidRPr="00000000" w14:paraId="00000042">
      <w:pPr>
        <w:ind w:right="-2" w:firstLine="0"/>
        <w:jc w:val="both"/>
        <w:rPr>
          <w:sz w:val="22"/>
          <w:szCs w:val="22"/>
        </w:rPr>
      </w:pPr>
      <w:r w:rsidDel="00000000" w:rsidR="00000000" w:rsidRPr="00000000">
        <w:rPr>
          <w:rtl w:val="0"/>
        </w:rPr>
      </w:r>
    </w:p>
    <w:p w:rsidR="00000000" w:rsidDel="00000000" w:rsidP="00000000" w:rsidRDefault="00000000" w:rsidRPr="00000000" w14:paraId="00000043">
      <w:pPr>
        <w:ind w:right="-2" w:firstLine="0"/>
        <w:jc w:val="both"/>
        <w:rPr>
          <w:sz w:val="22"/>
          <w:szCs w:val="22"/>
        </w:rPr>
      </w:pPr>
      <w:r w:rsidDel="00000000" w:rsidR="00000000" w:rsidRPr="00000000">
        <w:rPr>
          <w:rtl w:val="0"/>
        </w:rPr>
      </w:r>
    </w:p>
    <w:p w:rsidR="00000000" w:rsidDel="00000000" w:rsidP="00000000" w:rsidRDefault="00000000" w:rsidRPr="00000000" w14:paraId="00000044">
      <w:pPr>
        <w:ind w:firstLine="0"/>
        <w:jc w:val="both"/>
        <w:rPr>
          <w:b w:val="1"/>
          <w:bCs w:val="1"/>
        </w:rPr>
      </w:pPr>
      <w:r w:rsidDel="00000000" w:rsidR="00000000" w:rsidRPr="00000000">
        <w:rPr>
          <w:rtl w:val="0"/>
        </w:rPr>
        <w:t xml:space="preserve">2. Valor total do processo </w:t>
      </w:r>
      <w:r w:rsidDel="00000000" w:rsidR="00000000" w:rsidRPr="00000000">
        <w:rPr>
          <w:b w:val="1"/>
          <w:bCs w:val="1"/>
          <w:sz w:val="22"/>
          <w:szCs w:val="22"/>
          <w:highlight w:val="white"/>
          <w:rtl w:val="0"/>
        </w:rPr>
        <w:t xml:space="preserve"> R$ 19.400,00 (DEZENOVE MIL E QUATROCENTOS REAIS)</w:t>
      </w:r>
      <w:r w:rsidDel="00000000" w:rsidR="00000000" w:rsidRPr="00000000">
        <w:rPr>
          <w:rtl w:val="0"/>
        </w:rPr>
      </w:r>
    </w:p>
    <w:p w:rsidR="00000000" w:rsidDel="00000000" w:rsidP="00000000" w:rsidRDefault="00000000" w:rsidRPr="00000000" w14:paraId="00000045">
      <w:pPr>
        <w:ind w:firstLine="0"/>
        <w:jc w:val="both"/>
        <w:rPr/>
      </w:pPr>
      <w:r w:rsidDel="00000000" w:rsidR="00000000" w:rsidRPr="00000000">
        <w:rPr>
          <w:rtl w:val="0"/>
        </w:rPr>
        <w:t xml:space="preserve">2.3. O objeto desta contratação não se enquadra como sendo de bem de luxo, conforme artigo 384 e seguintes do Decreto nº 3.537, de 09 de maio de 2023.</w:t>
      </w:r>
    </w:p>
    <w:p w:rsidR="00000000" w:rsidDel="00000000" w:rsidP="00000000" w:rsidRDefault="00000000" w:rsidRPr="00000000" w14:paraId="00000046">
      <w:pPr>
        <w:ind w:firstLine="0"/>
        <w:jc w:val="both"/>
        <w:rPr/>
      </w:pPr>
      <w:r w:rsidDel="00000000" w:rsidR="00000000" w:rsidRPr="00000000">
        <w:rPr>
          <w:rtl w:val="0"/>
        </w:rPr>
        <w:t xml:space="preserve">2.4. Os bens objeto desta contratação são caracterizados como comuns, conforme justificativa constante do Estudo Técnico Preliminar.</w:t>
      </w:r>
    </w:p>
    <w:p w:rsidR="00000000" w:rsidDel="00000000" w:rsidP="00000000" w:rsidRDefault="00000000" w:rsidRPr="00000000" w14:paraId="00000047">
      <w:pPr>
        <w:ind w:firstLine="0"/>
        <w:jc w:val="both"/>
        <w:rPr/>
      </w:pPr>
      <w:r w:rsidDel="00000000" w:rsidR="00000000" w:rsidRPr="00000000">
        <w:rPr>
          <w:rtl w:val="0"/>
        </w:rPr>
        <w:t xml:space="preserve">2.5. O prazo de vigência da contratação é de 01 (um) ano, proporcional a 12 (doze) meses contados a partir da publicação do extrato do contrato no Diário Oficial do Município, que poderá ser consultado através do link https://www.bandeirantes.pr.gov.br/diario-oficial-eletronico, prorrogável na forma dos artigos 405 e 406 da Decreto nº 3.537, de 09 de maio de 2023, desde que as condições se mantenham vantajosas para esta Administração.</w:t>
      </w:r>
    </w:p>
    <w:p w:rsidR="00000000" w:rsidDel="00000000" w:rsidP="00000000" w:rsidRDefault="00000000" w:rsidRPr="00000000" w14:paraId="00000048">
      <w:pPr>
        <w:ind w:firstLine="0"/>
        <w:jc w:val="both"/>
        <w:rPr/>
      </w:pPr>
      <w:r w:rsidDel="00000000" w:rsidR="00000000" w:rsidRPr="00000000">
        <w:rPr>
          <w:rtl w:val="0"/>
        </w:rPr>
        <w:t xml:space="preserve">2.6. O contrato oferece maior detalhamento das regras que serão aplicadas em relação à vigência da contratação. </w:t>
      </w:r>
    </w:p>
    <w:p w:rsidR="00000000" w:rsidDel="00000000" w:rsidP="00000000" w:rsidRDefault="00000000" w:rsidRPr="00000000" w14:paraId="00000049">
      <w:pPr>
        <w:ind w:right="-74" w:firstLine="0"/>
        <w:jc w:val="both"/>
        <w:rPr>
          <w:highlight w:val="white"/>
        </w:rPr>
      </w:pPr>
      <w:r w:rsidDel="00000000" w:rsidR="00000000" w:rsidRPr="00000000">
        <w:rPr>
          <w:highlight w:val="white"/>
          <w:rtl w:val="0"/>
        </w:rPr>
        <w:t xml:space="preserve">2.7. Criação, Expansão ou Aperfeiçoamento de Ações Governamentais: A presente contratação não se trata de criação, expansão ou aperfeiçoamento de ações do governo, pois, enquadra‐se no entendimento de se tratar de despesa destinada ao custeio/serviços de atividades rotineiras e habituais do ente, não havendo necessidade de elaboração de estimativa do impacto orçamentário‐ financeiro ou de declaração do ordenador de despesa de que o aumento possui adequação orçamentária e financeira com a LOA e compatibilidade com o PPA e a LDO na forma disposta nos Art. 16 e 17 da Lei complementar nº 101/2020 – LRF.</w:t>
      </w:r>
    </w:p>
    <w:p w:rsidR="00000000" w:rsidDel="00000000" w:rsidP="00000000" w:rsidRDefault="00000000" w:rsidRPr="00000000" w14:paraId="0000004A">
      <w:pPr>
        <w:ind w:right="-74" w:firstLine="0"/>
        <w:jc w:val="both"/>
        <w:rPr>
          <w:highlight w:val="white"/>
        </w:rPr>
      </w:pPr>
      <w:r w:rsidDel="00000000" w:rsidR="00000000" w:rsidRPr="00000000">
        <w:rPr>
          <w:rtl w:val="0"/>
        </w:rPr>
      </w:r>
    </w:p>
    <w:p w:rsidR="00000000" w:rsidDel="00000000" w:rsidP="00000000" w:rsidRDefault="00000000" w:rsidRPr="00000000" w14:paraId="0000004B">
      <w:pPr>
        <w:shd w:fill="d9d9d9" w:val="clear"/>
        <w:ind w:right="-74" w:firstLine="0"/>
        <w:jc w:val="both"/>
        <w:rPr>
          <w:b w:val="1"/>
          <w:bCs w:val="1"/>
          <w:shd w:fill="d9d9d9" w:val="clear"/>
        </w:rPr>
      </w:pPr>
      <w:r w:rsidDel="00000000" w:rsidR="00000000" w:rsidRPr="00000000">
        <w:rPr>
          <w:b w:val="1"/>
          <w:bCs w:val="1"/>
          <w:shd w:fill="d9d9d9" w:val="clear"/>
          <w:rtl w:val="0"/>
        </w:rPr>
        <w:t xml:space="preserve">3. FUNDAMENTAÇÃO E DESCRIÇÃO DA NECESSIDADE DA CONTRATAÇÃO</w:t>
      </w:r>
    </w:p>
    <w:p w:rsidR="00000000" w:rsidDel="00000000" w:rsidP="00000000" w:rsidRDefault="00000000" w:rsidRPr="00000000" w14:paraId="0000004C">
      <w:pPr>
        <w:ind w:right="-74" w:hanging="2"/>
        <w:jc w:val="both"/>
        <w:rPr/>
      </w:pPr>
      <w:r w:rsidDel="00000000" w:rsidR="00000000" w:rsidRPr="00000000">
        <w:rPr>
          <w:rtl w:val="0"/>
        </w:rPr>
        <w:t xml:space="preserve">3.1. A Fundamentação da Contratação e de seus quantitativos encontra-se pormenorizada em Tópico específico dos Estudos Técnicos Preliminares, apêndice deste Termo de Referência.</w:t>
      </w:r>
    </w:p>
    <w:p w:rsidR="00000000" w:rsidDel="00000000" w:rsidP="00000000" w:rsidRDefault="00000000" w:rsidRPr="00000000" w14:paraId="0000004D">
      <w:pPr>
        <w:ind w:right="-74" w:hanging="2"/>
        <w:jc w:val="both"/>
        <w:rPr/>
      </w:pPr>
      <w:r w:rsidDel="00000000" w:rsidR="00000000" w:rsidRPr="00000000">
        <w:rPr>
          <w:rtl w:val="0"/>
        </w:rPr>
      </w:r>
    </w:p>
    <w:p w:rsidR="00000000" w:rsidDel="00000000" w:rsidP="00000000" w:rsidRDefault="00000000" w:rsidRPr="00000000" w14:paraId="0000004E">
      <w:pPr>
        <w:ind w:right="-362" w:hanging="2"/>
        <w:jc w:val="both"/>
        <w:rPr>
          <w:b w:val="1"/>
          <w:bCs w:val="1"/>
        </w:rPr>
      </w:pPr>
      <w:r w:rsidDel="00000000" w:rsidR="00000000" w:rsidRPr="00000000">
        <w:rPr>
          <w:rtl w:val="0"/>
        </w:rPr>
        <w:t xml:space="preserve">3.2. </w:t>
      </w:r>
      <w:r w:rsidDel="00000000" w:rsidR="00000000" w:rsidRPr="00000000">
        <w:rPr>
          <w:b w:val="1"/>
          <w:bCs w:val="1"/>
          <w:rtl w:val="0"/>
        </w:rPr>
        <w:t xml:space="preserve">NATUREZA DO OBJETO</w:t>
      </w:r>
    </w:p>
    <w:p w:rsidR="00000000" w:rsidDel="00000000" w:rsidP="00000000" w:rsidRDefault="00000000" w:rsidRPr="00000000" w14:paraId="0000004F">
      <w:pPr>
        <w:ind w:right="-362" w:hanging="2"/>
        <w:jc w:val="both"/>
        <w:rPr/>
      </w:pPr>
      <w:r w:rsidDel="00000000" w:rsidR="00000000" w:rsidRPr="00000000">
        <w:rPr>
          <w:rtl w:val="0"/>
        </w:rPr>
        <w:t xml:space="preserve">3.2.1  Material de Consumo (itens de beleza)</w:t>
      </w:r>
    </w:p>
    <w:p w:rsidR="00000000" w:rsidDel="00000000" w:rsidP="00000000" w:rsidRDefault="00000000" w:rsidRPr="00000000" w14:paraId="00000050">
      <w:pPr>
        <w:ind w:right="-362" w:hanging="2"/>
        <w:jc w:val="both"/>
        <w:rPr/>
      </w:pPr>
      <w:r w:rsidDel="00000000" w:rsidR="00000000" w:rsidRPr="00000000">
        <w:rPr>
          <w:rtl w:val="0"/>
        </w:rPr>
      </w:r>
    </w:p>
    <w:p w:rsidR="00000000" w:rsidDel="00000000" w:rsidP="00000000" w:rsidRDefault="00000000" w:rsidRPr="00000000" w14:paraId="00000051">
      <w:pPr>
        <w:ind w:right="-362" w:hanging="2"/>
        <w:jc w:val="both"/>
        <w:rPr>
          <w:sz w:val="26"/>
          <w:szCs w:val="26"/>
          <w:highlight w:val="yellow"/>
        </w:rPr>
      </w:pPr>
      <w:r w:rsidDel="00000000" w:rsidR="00000000" w:rsidRPr="00000000">
        <w:rPr>
          <w:sz w:val="26"/>
          <w:szCs w:val="26"/>
          <w:rtl w:val="0"/>
        </w:rPr>
        <w:t xml:space="preserve">3.3.</w:t>
      </w:r>
      <w:r w:rsidDel="00000000" w:rsidR="00000000" w:rsidRPr="00000000">
        <w:rPr>
          <w:rtl w:val="0"/>
        </w:rPr>
        <w:t xml:space="preserve"> </w:t>
      </w:r>
      <w:r w:rsidDel="00000000" w:rsidR="00000000" w:rsidRPr="00000000">
        <w:rPr>
          <w:rtl w:val="0"/>
        </w:rPr>
        <w:t xml:space="preserve">O objeto da contratação não está previsto no Plano de Contratações Anual de 2026.</w:t>
      </w:r>
      <w:r w:rsidDel="00000000" w:rsidR="00000000" w:rsidRPr="00000000">
        <w:rPr>
          <w:rtl w:val="0"/>
        </w:rPr>
      </w:r>
    </w:p>
    <w:p w:rsidR="00000000" w:rsidDel="00000000" w:rsidP="00000000" w:rsidRDefault="00000000" w:rsidRPr="00000000" w14:paraId="00000052">
      <w:pPr>
        <w:ind w:right="-362" w:hanging="2"/>
        <w:jc w:val="both"/>
        <w:rPr>
          <w:sz w:val="26"/>
          <w:szCs w:val="26"/>
        </w:rPr>
      </w:pPr>
      <w:r w:rsidDel="00000000" w:rsidR="00000000" w:rsidRPr="00000000">
        <w:rPr>
          <w:rtl w:val="0"/>
        </w:rPr>
      </w:r>
    </w:p>
    <w:p w:rsidR="00000000" w:rsidDel="00000000" w:rsidP="00000000" w:rsidRDefault="00000000" w:rsidRPr="00000000" w14:paraId="00000053">
      <w:pPr>
        <w:ind w:right="-2" w:firstLine="0"/>
        <w:jc w:val="both"/>
        <w:rPr>
          <w:sz w:val="26"/>
          <w:szCs w:val="26"/>
        </w:rPr>
      </w:pPr>
      <w:r w:rsidDel="00000000" w:rsidR="00000000" w:rsidRPr="00000000">
        <w:rPr>
          <w:sz w:val="26"/>
          <w:szCs w:val="26"/>
          <w:rtl w:val="0"/>
        </w:rPr>
        <w:t xml:space="preserve">3.3.1. </w:t>
      </w:r>
      <w:r w:rsidDel="00000000" w:rsidR="00000000" w:rsidRPr="00000000">
        <w:rPr>
          <w:b w:val="1"/>
          <w:bCs w:val="1"/>
          <w:sz w:val="26"/>
          <w:szCs w:val="26"/>
          <w:rtl w:val="0"/>
        </w:rPr>
        <w:t xml:space="preserve">JUSTIFICATIVA SE NEGATIVO</w:t>
      </w:r>
      <w:r w:rsidDel="00000000" w:rsidR="00000000" w:rsidRPr="00000000">
        <w:rPr>
          <w:sz w:val="26"/>
          <w:szCs w:val="26"/>
          <w:rtl w:val="0"/>
        </w:rPr>
        <w:t xml:space="preserve">: </w:t>
      </w:r>
    </w:p>
    <w:p w:rsidR="00000000" w:rsidDel="00000000" w:rsidP="00000000" w:rsidRDefault="00000000" w:rsidRPr="00000000" w14:paraId="00000054">
      <w:pPr>
        <w:spacing w:after="240" w:before="240" w:lineRule="auto"/>
        <w:ind w:firstLine="0"/>
        <w:jc w:val="both"/>
        <w:rPr>
          <w:sz w:val="26"/>
          <w:szCs w:val="26"/>
        </w:rPr>
      </w:pPr>
      <w:r w:rsidDel="00000000" w:rsidR="00000000" w:rsidRPr="00000000">
        <w:rPr>
          <w:rtl w:val="0"/>
        </w:rPr>
        <w:t xml:space="preserve">O presente objeto, referente à aquisição de brindes destinados às mulheres, não consta no Plano de Contratações Anual de 2026, em razão de necessidade superveniente identificada após a consolidação do referido plano. A demanda decorre da realização de ações institucionais voltadas à valorização e reconhecimento das mulheres, especialmente em eventos comemorativos e campanhas de conscientização e combate à violência, cuja definição ocorreu posteriormente à elaboração do PCA. Considerando a relevância social e institucional da iniciativa, bem como os riscos de não atendimento às atividades programadas, justifica-se a inclusão excepcional desta contratação. Ressalta-se que o objeto será registrado em atualização futura do PCA, de modo a assegurar a aderência ao planejamento e à transparência do processo.</w:t>
      </w:r>
      <w:r w:rsidDel="00000000" w:rsidR="00000000" w:rsidRPr="00000000">
        <w:rPr>
          <w:rtl w:val="0"/>
        </w:rPr>
      </w:r>
    </w:p>
    <w:tbl>
      <w:tblPr>
        <w:tblStyle w:val="Table2"/>
        <w:tblW w:w="97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6"/>
        <w:gridCol w:w="2385"/>
        <w:gridCol w:w="1395"/>
        <w:gridCol w:w="3025"/>
        <w:tblGridChange w:id="0">
          <w:tblGrid>
            <w:gridCol w:w="2896"/>
            <w:gridCol w:w="2385"/>
            <w:gridCol w:w="1395"/>
            <w:gridCol w:w="3025"/>
          </w:tblGrid>
        </w:tblGridChange>
      </w:tblGrid>
      <w:tr>
        <w:trPr>
          <w:cantSplit w:val="0"/>
          <w:tblHeader w:val="0"/>
        </w:trPr>
        <w:tc>
          <w:tcPr>
            <w:gridSpan w:val="4"/>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5">
            <w:pPr>
              <w:ind w:right="-284" w:firstLine="0"/>
              <w:rPr>
                <w:sz w:val="26"/>
                <w:szCs w:val="26"/>
              </w:rPr>
            </w:pPr>
            <w:r w:rsidDel="00000000" w:rsidR="00000000" w:rsidRPr="00000000">
              <w:rPr>
                <w:rtl w:val="0"/>
              </w:rPr>
            </w:r>
          </w:p>
        </w:tc>
      </w:tr>
    </w:tbl>
    <w:p w:rsidR="00000000" w:rsidDel="00000000" w:rsidP="00000000" w:rsidRDefault="00000000" w:rsidRPr="00000000" w14:paraId="00000059">
      <w:pPr>
        <w:ind w:right="-2" w:firstLine="0"/>
        <w:jc w:val="both"/>
        <w:rPr>
          <w:sz w:val="22"/>
          <w:szCs w:val="22"/>
        </w:rPr>
      </w:pPr>
      <w:r w:rsidDel="00000000" w:rsidR="00000000" w:rsidRPr="00000000">
        <w:rPr>
          <w:rtl w:val="0"/>
        </w:rPr>
      </w:r>
    </w:p>
    <w:p w:rsidR="00000000" w:rsidDel="00000000" w:rsidP="00000000" w:rsidRDefault="00000000" w:rsidRPr="00000000" w14:paraId="0000005A">
      <w:pPr>
        <w:ind w:right="-362" w:hanging="2"/>
        <w:jc w:val="both"/>
        <w:rPr>
          <w:highlight w:val="white"/>
        </w:rPr>
      </w:pPr>
      <w:r w:rsidDel="00000000" w:rsidR="00000000" w:rsidRPr="00000000">
        <w:rPr>
          <w:rtl w:val="0"/>
        </w:rPr>
        <w:t xml:space="preserve">3.4.</w:t>
      </w:r>
      <w:r w:rsidDel="00000000" w:rsidR="00000000" w:rsidRPr="00000000">
        <w:rPr>
          <w:b w:val="1"/>
          <w:bCs w:val="1"/>
          <w:rtl w:val="0"/>
        </w:rPr>
        <w:t xml:space="preserve"> </w:t>
      </w:r>
      <w:r w:rsidDel="00000000" w:rsidR="00000000" w:rsidRPr="00000000">
        <w:rPr>
          <w:highlight w:val="white"/>
          <w:rtl w:val="0"/>
        </w:rPr>
        <w:t xml:space="preserve">A contratação está prevista nas seguintes leis orçamentárias:</w:t>
      </w:r>
    </w:p>
    <w:p w:rsidR="00000000" w:rsidDel="00000000" w:rsidP="00000000" w:rsidRDefault="00000000" w:rsidRPr="00000000" w14:paraId="0000005B">
      <w:pPr>
        <w:ind w:right="-362" w:hanging="2"/>
        <w:jc w:val="both"/>
        <w:rPr>
          <w:highlight w:val="white"/>
        </w:rPr>
      </w:pPr>
      <w:r w:rsidDel="00000000" w:rsidR="00000000" w:rsidRPr="00000000">
        <w:rPr>
          <w:highlight w:val="white"/>
          <w:rtl w:val="0"/>
        </w:rPr>
        <w:t xml:space="preserve">3.4.1.  PPA - Lei n.º 4.617/2025 de 11 de novembro de 2025;</w:t>
      </w:r>
    </w:p>
    <w:p w:rsidR="00000000" w:rsidDel="00000000" w:rsidP="00000000" w:rsidRDefault="00000000" w:rsidRPr="00000000" w14:paraId="0000005C">
      <w:pPr>
        <w:ind w:right="-362" w:hanging="2"/>
        <w:jc w:val="both"/>
        <w:rPr>
          <w:highlight w:val="white"/>
        </w:rPr>
      </w:pPr>
      <w:r w:rsidDel="00000000" w:rsidR="00000000" w:rsidRPr="00000000">
        <w:rPr>
          <w:highlight w:val="white"/>
          <w:rtl w:val="0"/>
        </w:rPr>
        <w:t xml:space="preserve">3.4.2. LDO - Lei n.º 4.579/2025, de 15 de julho de 2025;</w:t>
      </w:r>
    </w:p>
    <w:p w:rsidR="00000000" w:rsidDel="00000000" w:rsidP="00000000" w:rsidRDefault="00000000" w:rsidRPr="00000000" w14:paraId="0000005D">
      <w:pPr>
        <w:ind w:right="-362" w:hanging="2"/>
        <w:jc w:val="both"/>
        <w:rPr>
          <w:highlight w:val="white"/>
        </w:rPr>
      </w:pPr>
      <w:r w:rsidDel="00000000" w:rsidR="00000000" w:rsidRPr="00000000">
        <w:rPr>
          <w:highlight w:val="white"/>
          <w:rtl w:val="0"/>
        </w:rPr>
        <w:t xml:space="preserve">3.4.3. LOA – Lei nº 4.616/2025, de 11 de novembro de 2025;</w:t>
      </w:r>
    </w:p>
    <w:p w:rsidR="00000000" w:rsidDel="00000000" w:rsidP="00000000" w:rsidRDefault="00000000" w:rsidRPr="00000000" w14:paraId="0000005E">
      <w:pPr>
        <w:ind w:right="-362" w:hanging="2"/>
        <w:jc w:val="both"/>
        <w:rPr>
          <w:color w:val="ff0000"/>
        </w:rPr>
      </w:pPr>
      <w:r w:rsidDel="00000000" w:rsidR="00000000" w:rsidRPr="00000000">
        <w:rPr>
          <w:rtl w:val="0"/>
        </w:rPr>
      </w:r>
    </w:p>
    <w:p w:rsidR="00000000" w:rsidDel="00000000" w:rsidP="00000000" w:rsidRDefault="00000000" w:rsidRPr="00000000" w14:paraId="0000005F">
      <w:pPr>
        <w:shd w:fill="d9d9d9" w:val="clear"/>
        <w:tabs>
          <w:tab w:val="left" w:leader="none" w:pos="284"/>
        </w:tabs>
        <w:ind w:right="-74" w:firstLine="0"/>
        <w:jc w:val="both"/>
        <w:rPr>
          <w:b w:val="1"/>
          <w:bCs w:val="1"/>
        </w:rPr>
      </w:pPr>
      <w:r w:rsidDel="00000000" w:rsidR="00000000" w:rsidRPr="00000000">
        <w:rPr>
          <w:b w:val="1"/>
          <w:bCs w:val="1"/>
          <w:rtl w:val="0"/>
        </w:rPr>
        <w:t xml:space="preserve">4. DESCRIÇÃO DA SOLUÇÃO COMO UM TODO CONSIDERADO O CICLO DE VIDA DO OBJETO E ESPECIFICAÇÃO DO PRODUTO</w:t>
      </w:r>
    </w:p>
    <w:p w:rsidR="00000000" w:rsidDel="00000000" w:rsidP="00000000" w:rsidRDefault="00000000" w:rsidRPr="00000000" w14:paraId="00000060">
      <w:pPr>
        <w:ind w:right="-74" w:hanging="2"/>
        <w:jc w:val="both"/>
        <w:rPr/>
      </w:pPr>
      <w:r w:rsidDel="00000000" w:rsidR="00000000" w:rsidRPr="00000000">
        <w:rPr>
          <w:rtl w:val="0"/>
        </w:rPr>
        <w:t xml:space="preserve">4.1. A descrição da solução como um todo encontra-se pormenorizada em tópico específico dos Estudos Técnicos Preliminares, apêndice deste Termo de Referência.</w:t>
      </w:r>
    </w:p>
    <w:p w:rsidR="00000000" w:rsidDel="00000000" w:rsidP="00000000" w:rsidRDefault="00000000" w:rsidRPr="00000000" w14:paraId="00000061">
      <w:pPr>
        <w:ind w:right="-362" w:hanging="2"/>
        <w:jc w:val="both"/>
        <w:rPr/>
      </w:pPr>
      <w:r w:rsidDel="00000000" w:rsidR="00000000" w:rsidRPr="00000000">
        <w:rPr>
          <w:rtl w:val="0"/>
        </w:rPr>
      </w:r>
    </w:p>
    <w:p w:rsidR="00000000" w:rsidDel="00000000" w:rsidP="00000000" w:rsidRDefault="00000000" w:rsidRPr="00000000" w14:paraId="00000062">
      <w:pPr>
        <w:shd w:fill="d9d9d9" w:val="clear"/>
        <w:ind w:left="2" w:right="-74" w:hanging="2"/>
        <w:jc w:val="both"/>
        <w:rPr>
          <w:b w:val="1"/>
          <w:bCs w:val="1"/>
        </w:rPr>
      </w:pPr>
      <w:bookmarkStart w:colFirst="0" w:colLast="0" w:name="_heading=h.t0zka0snobx0" w:id="3"/>
      <w:bookmarkEnd w:id="3"/>
      <w:r w:rsidDel="00000000" w:rsidR="00000000" w:rsidRPr="00000000">
        <w:rPr>
          <w:b w:val="1"/>
          <w:bCs w:val="1"/>
          <w:rtl w:val="0"/>
        </w:rPr>
        <w:t xml:space="preserve">5. PADRÕES MÍNIMOS DE QUALIDADE E DESEMPENHO </w:t>
      </w:r>
    </w:p>
    <w:p w:rsidR="00000000" w:rsidDel="00000000" w:rsidP="00000000" w:rsidRDefault="00000000" w:rsidRPr="00000000" w14:paraId="00000063">
      <w:pPr>
        <w:ind w:right="-2" w:hanging="2"/>
        <w:jc w:val="both"/>
        <w:rPr>
          <w:sz w:val="22"/>
          <w:szCs w:val="22"/>
          <w:highlight w:val="white"/>
        </w:rPr>
      </w:pPr>
      <w:r w:rsidDel="00000000" w:rsidR="00000000" w:rsidRPr="00000000">
        <w:rPr>
          <w:sz w:val="22"/>
          <w:szCs w:val="22"/>
          <w:highlight w:val="white"/>
          <w:rtl w:val="0"/>
        </w:rPr>
        <w:t xml:space="preserve">5.1. Os produtos devem apresentar prazos de validade compatíveis com o tempo necessário para sua distribuição e consumo pelas famílias atendidas, evitando desperdícios.</w:t>
      </w:r>
    </w:p>
    <w:p w:rsidR="00000000" w:rsidDel="00000000" w:rsidP="00000000" w:rsidRDefault="00000000" w:rsidRPr="00000000" w14:paraId="00000064">
      <w:pPr>
        <w:ind w:right="-2" w:hanging="2"/>
        <w:jc w:val="both"/>
        <w:rPr>
          <w:sz w:val="22"/>
          <w:szCs w:val="22"/>
          <w:highlight w:val="white"/>
        </w:rPr>
      </w:pPr>
      <w:r w:rsidDel="00000000" w:rsidR="00000000" w:rsidRPr="00000000">
        <w:rPr>
          <w:sz w:val="22"/>
          <w:szCs w:val="22"/>
          <w:highlight w:val="white"/>
          <w:rtl w:val="0"/>
        </w:rPr>
        <w:t xml:space="preserve">5.2. Todos os itens devem ser entregues em embalagens íntegras, devidamente lacradas, sem sinais de avarias ou contaminações, garantindo a segurança alimentar;</w:t>
      </w:r>
    </w:p>
    <w:p w:rsidR="00000000" w:rsidDel="00000000" w:rsidP="00000000" w:rsidRDefault="00000000" w:rsidRPr="00000000" w14:paraId="00000065">
      <w:pPr>
        <w:ind w:right="-2" w:hanging="2"/>
        <w:jc w:val="both"/>
        <w:rPr>
          <w:sz w:val="22"/>
          <w:szCs w:val="22"/>
        </w:rPr>
      </w:pPr>
      <w:r w:rsidDel="00000000" w:rsidR="00000000" w:rsidRPr="00000000">
        <w:rPr>
          <w:sz w:val="22"/>
          <w:szCs w:val="22"/>
          <w:rtl w:val="0"/>
        </w:rPr>
        <w:t xml:space="preserve">5.3. Os itens devem estar embalados de acordo com a nota fiscal/empenho, não enviando materiais/produtos de notas fiscais/empenhos diferentes numa mesma embalagem;</w:t>
      </w:r>
    </w:p>
    <w:p w:rsidR="00000000" w:rsidDel="00000000" w:rsidP="00000000" w:rsidRDefault="00000000" w:rsidRPr="00000000" w14:paraId="00000066">
      <w:pPr>
        <w:ind w:right="-2" w:hanging="2"/>
        <w:jc w:val="both"/>
        <w:rPr>
          <w:sz w:val="22"/>
          <w:szCs w:val="22"/>
          <w:highlight w:val="white"/>
        </w:rPr>
      </w:pPr>
      <w:r w:rsidDel="00000000" w:rsidR="00000000" w:rsidRPr="00000000">
        <w:rPr>
          <w:sz w:val="22"/>
          <w:szCs w:val="22"/>
          <w:highlight w:val="white"/>
          <w:rtl w:val="0"/>
        </w:rPr>
        <w:t xml:space="preserve">5.4. As embalagens deverão conter os dados de identificação, procedência, marca do produto, data de fabricação, prazo de validade, quantidade do produto, número do lote e registro no Ministério da Saúde se for o caso;</w:t>
      </w:r>
    </w:p>
    <w:p w:rsidR="00000000" w:rsidDel="00000000" w:rsidP="00000000" w:rsidRDefault="00000000" w:rsidRPr="00000000" w14:paraId="00000067">
      <w:pPr>
        <w:ind w:right="-2" w:hanging="2"/>
        <w:jc w:val="both"/>
        <w:rPr>
          <w:sz w:val="22"/>
          <w:szCs w:val="22"/>
          <w:highlight w:val="white"/>
        </w:rPr>
      </w:pPr>
      <w:r w:rsidDel="00000000" w:rsidR="00000000" w:rsidRPr="00000000">
        <w:rPr>
          <w:sz w:val="22"/>
          <w:szCs w:val="22"/>
          <w:highlight w:val="white"/>
          <w:rtl w:val="0"/>
        </w:rPr>
        <w:t xml:space="preserve">5.5. A entrega dos itens deve ocorrer no prazo estipulado no contrato, com regularidade e pontualidade, para atender às necessidades urgentes da população vulnerável.</w:t>
      </w:r>
    </w:p>
    <w:p w:rsidR="00000000" w:rsidDel="00000000" w:rsidP="00000000" w:rsidRDefault="00000000" w:rsidRPr="00000000" w14:paraId="00000068">
      <w:pPr>
        <w:ind w:right="-2" w:hanging="2"/>
        <w:jc w:val="both"/>
        <w:rPr>
          <w:sz w:val="22"/>
          <w:szCs w:val="22"/>
          <w:highlight w:val="white"/>
        </w:rPr>
      </w:pPr>
      <w:r w:rsidDel="00000000" w:rsidR="00000000" w:rsidRPr="00000000">
        <w:rPr>
          <w:sz w:val="22"/>
          <w:szCs w:val="22"/>
          <w:highlight w:val="white"/>
          <w:rtl w:val="0"/>
        </w:rPr>
        <w:t xml:space="preserve">5.6. O cronograma de entrega deve ser definido previamente e ajustado de acordo com as demandas específicas da secretaria.</w:t>
      </w:r>
    </w:p>
    <w:p w:rsidR="00000000" w:rsidDel="00000000" w:rsidP="00000000" w:rsidRDefault="00000000" w:rsidRPr="00000000" w14:paraId="00000069">
      <w:pPr>
        <w:ind w:right="-2" w:hanging="2"/>
        <w:jc w:val="both"/>
        <w:rPr>
          <w:sz w:val="22"/>
          <w:szCs w:val="22"/>
        </w:rPr>
      </w:pPr>
      <w:r w:rsidDel="00000000" w:rsidR="00000000" w:rsidRPr="00000000">
        <w:rPr>
          <w:sz w:val="22"/>
          <w:szCs w:val="22"/>
          <w:rtl w:val="0"/>
        </w:rPr>
        <w:t xml:space="preserve">5.7. A contratada deverá manter durante toda a execução do contrato em compatibilidade com as obrigações assumidas, todas as condições de habilitação e qualificação exigidas no processo;</w:t>
      </w:r>
    </w:p>
    <w:p w:rsidR="00000000" w:rsidDel="00000000" w:rsidP="00000000" w:rsidRDefault="00000000" w:rsidRPr="00000000" w14:paraId="0000006A">
      <w:pPr>
        <w:ind w:right="-2" w:hanging="2"/>
        <w:jc w:val="both"/>
        <w:rPr>
          <w:sz w:val="22"/>
          <w:szCs w:val="22"/>
          <w:highlight w:val="white"/>
        </w:rPr>
      </w:pPr>
      <w:r w:rsidDel="00000000" w:rsidR="00000000" w:rsidRPr="00000000">
        <w:rPr>
          <w:sz w:val="22"/>
          <w:szCs w:val="22"/>
          <w:highlight w:val="white"/>
          <w:rtl w:val="0"/>
        </w:rPr>
        <w:t xml:space="preserve">5.8. Ademais, a contratação do referido material, deverá obedecer, no que couber, ao disposto na Lei nº14.133 de 01 de abril de 2021.</w:t>
      </w:r>
    </w:p>
    <w:p w:rsidR="00000000" w:rsidDel="00000000" w:rsidP="00000000" w:rsidRDefault="00000000" w:rsidRPr="00000000" w14:paraId="0000006B">
      <w:pPr>
        <w:ind w:right="-2" w:hanging="2"/>
        <w:jc w:val="both"/>
        <w:rPr>
          <w:highlight w:val="white"/>
        </w:rPr>
      </w:pPr>
      <w:r w:rsidDel="00000000" w:rsidR="00000000" w:rsidRPr="00000000">
        <w:rPr>
          <w:rtl w:val="0"/>
        </w:rPr>
      </w:r>
    </w:p>
    <w:p w:rsidR="00000000" w:rsidDel="00000000" w:rsidP="00000000" w:rsidRDefault="00000000" w:rsidRPr="00000000" w14:paraId="0000006C">
      <w:pPr>
        <w:ind w:left="2" w:right="-362" w:hanging="2"/>
        <w:jc w:val="both"/>
        <w:rPr>
          <w:b w:val="1"/>
          <w:bCs w:val="1"/>
        </w:rPr>
      </w:pPr>
      <w:r w:rsidDel="00000000" w:rsidR="00000000" w:rsidRPr="00000000">
        <w:rPr>
          <w:b w:val="1"/>
          <w:bCs w:val="1"/>
          <w:rtl w:val="0"/>
        </w:rPr>
        <w:t xml:space="preserve">5.1. DA SUBCONTRATAÇÃO</w:t>
      </w:r>
    </w:p>
    <w:p w:rsidR="00000000" w:rsidDel="00000000" w:rsidP="00000000" w:rsidRDefault="00000000" w:rsidRPr="00000000" w14:paraId="0000006D">
      <w:pPr>
        <w:ind w:left="2" w:right="-74" w:hanging="2"/>
        <w:jc w:val="both"/>
        <w:rPr/>
      </w:pPr>
      <w:r w:rsidDel="00000000" w:rsidR="00000000" w:rsidRPr="00000000">
        <w:rPr>
          <w:rtl w:val="0"/>
        </w:rPr>
        <w:t xml:space="preserve">5.1.1. Não será admitida a subcontratação do objeto licitatório, sem a competente, expressa e formal anuência da CONTRATANTE.</w:t>
      </w:r>
    </w:p>
    <w:p w:rsidR="00000000" w:rsidDel="00000000" w:rsidP="00000000" w:rsidRDefault="00000000" w:rsidRPr="00000000" w14:paraId="0000006E">
      <w:pPr>
        <w:ind w:right="-2" w:hanging="2"/>
        <w:jc w:val="both"/>
        <w:rPr>
          <w:highlight w:val="white"/>
        </w:rPr>
      </w:pPr>
      <w:r w:rsidDel="00000000" w:rsidR="00000000" w:rsidRPr="00000000">
        <w:rPr>
          <w:rtl w:val="0"/>
        </w:rPr>
      </w:r>
    </w:p>
    <w:p w:rsidR="00000000" w:rsidDel="00000000" w:rsidP="00000000" w:rsidRDefault="00000000" w:rsidRPr="00000000" w14:paraId="0000006F">
      <w:pPr>
        <w:ind w:right="-2" w:hanging="2"/>
        <w:jc w:val="both"/>
        <w:rPr>
          <w:b w:val="1"/>
          <w:bCs w:val="1"/>
          <w:highlight w:val="white"/>
        </w:rPr>
      </w:pPr>
      <w:r w:rsidDel="00000000" w:rsidR="00000000" w:rsidRPr="00000000">
        <w:rPr>
          <w:b w:val="1"/>
          <w:bCs w:val="1"/>
          <w:highlight w:val="white"/>
          <w:rtl w:val="0"/>
        </w:rPr>
        <w:t xml:space="preserve">5.2. DA PARTICIPAÇÃO DE MEI'S, ME'S OU EPP'S</w:t>
      </w:r>
    </w:p>
    <w:p w:rsidR="00000000" w:rsidDel="00000000" w:rsidP="00000000" w:rsidRDefault="00000000" w:rsidRPr="00000000" w14:paraId="00000070">
      <w:pPr>
        <w:ind w:right="-2" w:hanging="2"/>
        <w:jc w:val="both"/>
        <w:rPr>
          <w:highlight w:val="white"/>
        </w:rPr>
      </w:pPr>
      <w:r w:rsidDel="00000000" w:rsidR="00000000" w:rsidRPr="00000000">
        <w:rPr>
          <w:highlight w:val="white"/>
          <w:rtl w:val="0"/>
        </w:rPr>
        <w:t xml:space="preserve">5.2.1. Nos limites previstos da Lei Complementar nº 123/2006, com alterações da Lei Complementar nº 147/2014, poderão participar MEI'S, ME's ou EPP's, concorrendo com os benefícios legais desde que o ramo de atividade seja compatível com o objeto, aplicando-se ainda os dispositivos legais previstos na seção I do capítulo V (acesso aos mercados) da Lei Complementar 123/2006 e alterações da Lei Complementar 147/2014.</w:t>
      </w:r>
    </w:p>
    <w:p w:rsidR="00000000" w:rsidDel="00000000" w:rsidP="00000000" w:rsidRDefault="00000000" w:rsidRPr="00000000" w14:paraId="00000071">
      <w:pPr>
        <w:ind w:right="-2" w:hanging="2"/>
        <w:jc w:val="both"/>
        <w:rPr>
          <w:highlight w:val="white"/>
        </w:rPr>
      </w:pPr>
      <w:r w:rsidDel="00000000" w:rsidR="00000000" w:rsidRPr="00000000">
        <w:rPr>
          <w:rtl w:val="0"/>
        </w:rPr>
      </w:r>
    </w:p>
    <w:p w:rsidR="00000000" w:rsidDel="00000000" w:rsidP="00000000" w:rsidRDefault="00000000" w:rsidRPr="00000000" w14:paraId="00000072">
      <w:pPr>
        <w:ind w:right="-2" w:hanging="2"/>
        <w:jc w:val="both"/>
        <w:rPr/>
      </w:pPr>
      <w:r w:rsidDel="00000000" w:rsidR="00000000" w:rsidRPr="00000000">
        <w:rPr>
          <w:b w:val="1"/>
          <w:bCs w:val="1"/>
          <w:rtl w:val="0"/>
        </w:rPr>
        <w:t xml:space="preserve">5.3. DA PARTICIPAÇÃO COOPERATIVAS:</w:t>
      </w:r>
      <w:r w:rsidDel="00000000" w:rsidR="00000000" w:rsidRPr="00000000">
        <w:rPr>
          <w:rtl w:val="0"/>
        </w:rPr>
        <w:t xml:space="preserve"> No que se refere a cooperativa, não será restringido, porém conforme documentos necessários, deverá possuir ainda o objeto social compatível: Como regra geral, é possível a participação de cooperativas em licitações desde que o objeto social da cooperativa seja compatível com o objeto licitado.</w:t>
      </w:r>
    </w:p>
    <w:p w:rsidR="00000000" w:rsidDel="00000000" w:rsidP="00000000" w:rsidRDefault="00000000" w:rsidRPr="00000000" w14:paraId="00000073">
      <w:pPr>
        <w:ind w:right="-2" w:hanging="2"/>
        <w:jc w:val="both"/>
        <w:rPr>
          <w:sz w:val="22"/>
          <w:szCs w:val="22"/>
        </w:rPr>
      </w:pPr>
      <w:r w:rsidDel="00000000" w:rsidR="00000000" w:rsidRPr="00000000">
        <w:rPr>
          <w:rtl w:val="0"/>
        </w:rPr>
      </w:r>
    </w:p>
    <w:p w:rsidR="00000000" w:rsidDel="00000000" w:rsidP="00000000" w:rsidRDefault="00000000" w:rsidRPr="00000000" w14:paraId="00000074">
      <w:pPr>
        <w:ind w:right="-2" w:hanging="2"/>
        <w:jc w:val="both"/>
        <w:rPr/>
      </w:pPr>
      <w:r w:rsidDel="00000000" w:rsidR="00000000" w:rsidRPr="00000000">
        <w:rPr>
          <w:b w:val="1"/>
          <w:bCs w:val="1"/>
          <w:rtl w:val="0"/>
        </w:rPr>
        <w:t xml:space="preserve">5.4. DA PARTICIPAÇÃO DE CONSÓRCIOS:</w:t>
      </w:r>
      <w:r w:rsidDel="00000000" w:rsidR="00000000" w:rsidRPr="00000000">
        <w:rPr>
          <w:rtl w:val="0"/>
        </w:rPr>
        <w:t xml:space="preserve"> Não será permitida a participação de empresas de forma consorciada, considerando a natureza comum do objeto, visto que no mercado encontram-se várias empresas aptas a fornecer o objeto de forma isolada. Essa medida visa evitar a formação de oligopólios ou monopólios, fomentar a competição saudável, promover a transparência e responsabilização, além de reduzir potenciais conflitos de interesse. Dessa forma, busca-se garantir uma licitação competitiva, eficiente e em conformidade com os princípios fundamentais da Administração Pública.</w:t>
      </w:r>
    </w:p>
    <w:p w:rsidR="00000000" w:rsidDel="00000000" w:rsidP="00000000" w:rsidRDefault="00000000" w:rsidRPr="00000000" w14:paraId="00000075">
      <w:pPr>
        <w:ind w:right="-2" w:hanging="2"/>
        <w:jc w:val="both"/>
        <w:rPr/>
      </w:pPr>
      <w:r w:rsidDel="00000000" w:rsidR="00000000" w:rsidRPr="00000000">
        <w:rPr>
          <w:rtl w:val="0"/>
        </w:rPr>
      </w:r>
    </w:p>
    <w:p w:rsidR="00000000" w:rsidDel="00000000" w:rsidP="00000000" w:rsidRDefault="00000000" w:rsidRPr="00000000" w14:paraId="00000076">
      <w:pPr>
        <w:ind w:left="2" w:right="-362" w:hanging="2"/>
        <w:jc w:val="both"/>
        <w:rPr>
          <w:b w:val="1"/>
          <w:bCs w:val="1"/>
        </w:rPr>
      </w:pPr>
      <w:r w:rsidDel="00000000" w:rsidR="00000000" w:rsidRPr="00000000">
        <w:rPr>
          <w:b w:val="1"/>
          <w:bCs w:val="1"/>
          <w:rtl w:val="0"/>
        </w:rPr>
        <w:t xml:space="preserve">5.5. ACOMPANHAMENTO E FISCALIZAÇÃO:</w:t>
      </w:r>
    </w:p>
    <w:p w:rsidR="00000000" w:rsidDel="00000000" w:rsidP="00000000" w:rsidRDefault="00000000" w:rsidRPr="00000000" w14:paraId="00000077">
      <w:pPr>
        <w:ind w:left="2" w:right="-74" w:hanging="2"/>
        <w:jc w:val="both"/>
        <w:rPr>
          <w:sz w:val="22"/>
          <w:szCs w:val="22"/>
        </w:rPr>
      </w:pPr>
      <w:r w:rsidDel="00000000" w:rsidR="00000000" w:rsidRPr="00000000">
        <w:rPr>
          <w:rtl w:val="0"/>
        </w:rPr>
        <w:t xml:space="preserve">5.5.1. A execução do contrato deverá ser acompanhada e fiscalizada pelo fiscal técnico e administrativo do contrato, sendo ela </w:t>
      </w:r>
      <w:r w:rsidDel="00000000" w:rsidR="00000000" w:rsidRPr="00000000">
        <w:rPr>
          <w:sz w:val="22"/>
          <w:szCs w:val="22"/>
          <w:rtl w:val="0"/>
        </w:rPr>
        <w:t xml:space="preserve">THIELLEN CAROLINE DE OLIVEIRA - Matrícula n° 5179.</w:t>
      </w:r>
    </w:p>
    <w:p w:rsidR="00000000" w:rsidDel="00000000" w:rsidP="00000000" w:rsidRDefault="00000000" w:rsidRPr="00000000" w14:paraId="00000078">
      <w:pPr>
        <w:ind w:left="2" w:right="-74" w:hanging="2"/>
        <w:jc w:val="both"/>
        <w:rPr/>
      </w:pPr>
      <w:r w:rsidDel="00000000" w:rsidR="00000000" w:rsidRPr="00000000">
        <w:rPr>
          <w:rtl w:val="0"/>
        </w:rPr>
        <w:t xml:space="preserve">5.5.2. A gestão do contrato deverá ser realizada pela Sra. ROSIANE CRISTINA VIEIRA NÉIA STORTI - Matrícula n° 5049.</w:t>
      </w:r>
    </w:p>
    <w:p w:rsidR="00000000" w:rsidDel="00000000" w:rsidP="00000000" w:rsidRDefault="00000000" w:rsidRPr="00000000" w14:paraId="00000079">
      <w:pPr>
        <w:ind w:left="2" w:right="-74" w:hanging="2"/>
        <w:jc w:val="both"/>
        <w:rPr/>
      </w:pPr>
      <w:r w:rsidDel="00000000" w:rsidR="00000000" w:rsidRPr="00000000">
        <w:rPr>
          <w:rtl w:val="0"/>
        </w:rPr>
        <w:t xml:space="preserve">5.5.3.  O contrato deverá ser executado fielmente pelas partes, de acordo com as cláusulas avençadas e as normas da Lei nº 14.133, de 2021 e cada parte responderá pelas consequências de sua inexecução total ou parcial.</w:t>
      </w:r>
    </w:p>
    <w:p w:rsidR="00000000" w:rsidDel="00000000" w:rsidP="00000000" w:rsidRDefault="00000000" w:rsidRPr="00000000" w14:paraId="0000007A">
      <w:pPr>
        <w:ind w:left="2" w:right="-74" w:hanging="2"/>
        <w:jc w:val="both"/>
        <w:rPr/>
      </w:pPr>
      <w:r w:rsidDel="00000000" w:rsidR="00000000" w:rsidRPr="00000000">
        <w:rPr>
          <w:rtl w:val="0"/>
        </w:rPr>
        <w:t xml:space="preserve">5.5.4. Deve ser atentado para o disposto do Decreto Municipal 3.537/2023, quanto às atribuições do gestor e fiscal do contrato.</w:t>
      </w:r>
    </w:p>
    <w:p w:rsidR="00000000" w:rsidDel="00000000" w:rsidP="00000000" w:rsidRDefault="00000000" w:rsidRPr="00000000" w14:paraId="0000007B">
      <w:pPr>
        <w:ind w:left="2" w:right="-74" w:hanging="2"/>
        <w:jc w:val="both"/>
        <w:rPr/>
      </w:pPr>
      <w:r w:rsidDel="00000000" w:rsidR="00000000" w:rsidRPr="00000000">
        <w:rPr>
          <w:rtl w:val="0"/>
        </w:rPr>
        <w:t xml:space="preserve">5.5.5. As comunicações entre o órgão ou entidade e o contratado devem ser realizadas por escrito sempre que o ato exigir tal formalidade, admitindo-se o uso de mensagem eletrônica para esse fim.</w:t>
      </w:r>
    </w:p>
    <w:p w:rsidR="00000000" w:rsidDel="00000000" w:rsidP="00000000" w:rsidRDefault="00000000" w:rsidRPr="00000000" w14:paraId="0000007C">
      <w:pPr>
        <w:ind w:left="2" w:right="-74" w:hanging="2"/>
        <w:jc w:val="both"/>
        <w:rPr/>
      </w:pPr>
      <w:r w:rsidDel="00000000" w:rsidR="00000000" w:rsidRPr="00000000">
        <w:rPr>
          <w:rtl w:val="0"/>
        </w:rPr>
        <w:t xml:space="preserve">5.5.6. O fiscal do contrato acompanhará a execução do contrato, para que sejam cumpridas todas as condições estabelecidas no contrato, de modo a assegurar os melhores resultados para a Administração.</w:t>
      </w:r>
    </w:p>
    <w:p w:rsidR="00000000" w:rsidDel="00000000" w:rsidP="00000000" w:rsidRDefault="00000000" w:rsidRPr="00000000" w14:paraId="0000007D">
      <w:pPr>
        <w:ind w:left="2" w:right="-74" w:hanging="2"/>
        <w:jc w:val="both"/>
        <w:rPr/>
      </w:pPr>
      <w:r w:rsidDel="00000000" w:rsidR="00000000" w:rsidRPr="00000000">
        <w:rPr>
          <w:rtl w:val="0"/>
        </w:rPr>
        <w:t xml:space="preserve">5.5.7. O fiscal do contrato anotará no histórico de gerenciamento do contrato todas as ocorrências relacionadas à execução do contrato, com a descrição do que for necessário para a regularização das faltas ou dos defeitos observados.</w:t>
      </w:r>
    </w:p>
    <w:p w:rsidR="00000000" w:rsidDel="00000000" w:rsidP="00000000" w:rsidRDefault="00000000" w:rsidRPr="00000000" w14:paraId="0000007E">
      <w:pPr>
        <w:ind w:left="2" w:right="-74" w:hanging="2"/>
        <w:jc w:val="both"/>
        <w:rPr/>
      </w:pPr>
      <w:r w:rsidDel="00000000" w:rsidR="00000000" w:rsidRPr="00000000">
        <w:rPr>
          <w:rtl w:val="0"/>
        </w:rPr>
        <w:t xml:space="preserve">5.5.8. Identificada qualquer inexatidão ou irregularidade, o fiscal do contrato emitirá notificações para a correção da execução do contrato, determinando prazo para a correção.</w:t>
      </w:r>
    </w:p>
    <w:p w:rsidR="00000000" w:rsidDel="00000000" w:rsidP="00000000" w:rsidRDefault="00000000" w:rsidRPr="00000000" w14:paraId="0000007F">
      <w:pPr>
        <w:ind w:left="2" w:right="-74" w:hanging="2"/>
        <w:jc w:val="both"/>
        <w:rPr/>
      </w:pPr>
      <w:r w:rsidDel="00000000" w:rsidR="00000000" w:rsidRPr="00000000">
        <w:rPr>
          <w:rtl w:val="0"/>
        </w:rPr>
        <w:t xml:space="preserve">5.6.9. O fiscal do contrato informará ao gestor do contrato, em tempo hábil, a situação que demandar decisão ou adoção de medidas que ultrapassem sua competência, para que adote as medidas necessárias e saneadoras, se for o caso.</w:t>
      </w:r>
    </w:p>
    <w:p w:rsidR="00000000" w:rsidDel="00000000" w:rsidP="00000000" w:rsidRDefault="00000000" w:rsidRPr="00000000" w14:paraId="00000080">
      <w:pPr>
        <w:ind w:left="2" w:right="-74" w:hanging="2"/>
        <w:jc w:val="both"/>
        <w:rPr/>
      </w:pPr>
      <w:r w:rsidDel="00000000" w:rsidR="00000000" w:rsidRPr="00000000">
        <w:rPr>
          <w:rtl w:val="0"/>
        </w:rPr>
        <w:t xml:space="preserve">5.5.10. No caso de ocorrências que possam inviabilizar a execução do contrato nas datas aprazadas, o fiscal do contrato comunicará o fato imediatamente ao gestor do contrato.</w:t>
      </w:r>
    </w:p>
    <w:p w:rsidR="00000000" w:rsidDel="00000000" w:rsidP="00000000" w:rsidRDefault="00000000" w:rsidRPr="00000000" w14:paraId="00000081">
      <w:pPr>
        <w:ind w:left="2" w:right="-74" w:hanging="2"/>
        <w:jc w:val="both"/>
        <w:rPr/>
      </w:pPr>
      <w:r w:rsidDel="00000000" w:rsidR="00000000" w:rsidRPr="00000000">
        <w:rPr>
          <w:rtl w:val="0"/>
        </w:rPr>
        <w:t xml:space="preserve">5.5.11. O fiscal do contrato comunicará ao gestor do contrato, em tempo hábil, o término do contrato sob sua responsabilidade, com vistas à tempestiva renovação ou à prorrogação contratual.</w:t>
      </w:r>
    </w:p>
    <w:p w:rsidR="00000000" w:rsidDel="00000000" w:rsidP="00000000" w:rsidRDefault="00000000" w:rsidRPr="00000000" w14:paraId="00000082">
      <w:pPr>
        <w:ind w:left="2" w:right="-74" w:hanging="2"/>
        <w:jc w:val="both"/>
        <w:rPr/>
      </w:pPr>
      <w:r w:rsidDel="00000000" w:rsidR="00000000" w:rsidRPr="00000000">
        <w:rPr>
          <w:rtl w:val="0"/>
        </w:rPr>
        <w:t xml:space="preserve">5.5.12. O fiscal do contrato verificará a manutenção das condições de habilitação do contratado, acompanhará o empenho, o pagamento, as garantias, as glosas e a formalização de apostilamento e termos aditivos, solicitando quaisquer documentos comprobatórios pertinentes, caso necessário.</w:t>
      </w:r>
    </w:p>
    <w:p w:rsidR="00000000" w:rsidDel="00000000" w:rsidP="00000000" w:rsidRDefault="00000000" w:rsidRPr="00000000" w14:paraId="00000083">
      <w:pPr>
        <w:ind w:left="2" w:right="-74" w:hanging="2"/>
        <w:jc w:val="both"/>
        <w:rPr/>
      </w:pPr>
      <w:r w:rsidDel="00000000" w:rsidR="00000000" w:rsidRPr="00000000">
        <w:rPr>
          <w:rtl w:val="0"/>
        </w:rPr>
        <w:t xml:space="preserve">5.5.13. Caso ocorram descumprimento das obrigações contratuais, o fiscal do contrato atuará tempestivamente na solução do problema, reportando ao gestor do contrato para que tome as providências cabíveis, quando ultrapassar a sua competência;</w:t>
      </w:r>
    </w:p>
    <w:p w:rsidR="00000000" w:rsidDel="00000000" w:rsidP="00000000" w:rsidRDefault="00000000" w:rsidRPr="00000000" w14:paraId="00000084">
      <w:pPr>
        <w:ind w:left="2" w:right="-74" w:hanging="2"/>
        <w:jc w:val="both"/>
        <w:rPr/>
      </w:pPr>
      <w:r w:rsidDel="00000000" w:rsidR="00000000" w:rsidRPr="00000000">
        <w:rPr>
          <w:rtl w:val="0"/>
        </w:rPr>
        <w:t xml:space="preserve">5.5.14.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00000000" w:rsidDel="00000000" w:rsidP="00000000" w:rsidRDefault="00000000" w:rsidRPr="00000000" w14:paraId="00000085">
      <w:pPr>
        <w:ind w:left="2" w:right="-74" w:hanging="2"/>
        <w:jc w:val="both"/>
        <w:rPr/>
      </w:pPr>
      <w:r w:rsidDel="00000000" w:rsidR="00000000" w:rsidRPr="00000000">
        <w:rPr>
          <w:rtl w:val="0"/>
        </w:rPr>
        <w:t xml:space="preserve">5.5.15. O gestor do contrato acompanhará a manutenção das condições de habilitação do contratado, para fins de empenho de despesa e pagamento, e anotará os problemas que obstam o fluxo normal da liquidação e do pagamento da despesa no relatório de riscos eventuais.</w:t>
      </w:r>
    </w:p>
    <w:p w:rsidR="00000000" w:rsidDel="00000000" w:rsidP="00000000" w:rsidRDefault="00000000" w:rsidRPr="00000000" w14:paraId="00000086">
      <w:pPr>
        <w:ind w:left="2" w:right="-74" w:hanging="2"/>
        <w:jc w:val="both"/>
        <w:rPr/>
      </w:pPr>
      <w:r w:rsidDel="00000000" w:rsidR="00000000" w:rsidRPr="00000000">
        <w:rPr>
          <w:rtl w:val="0"/>
        </w:rPr>
        <w:t xml:space="preserve">5.5.16.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00000000" w:rsidDel="00000000" w:rsidP="00000000" w:rsidRDefault="00000000" w:rsidRPr="00000000" w14:paraId="00000087">
      <w:pPr>
        <w:ind w:left="2" w:right="-74" w:hanging="2"/>
        <w:jc w:val="both"/>
        <w:rPr/>
      </w:pPr>
      <w:r w:rsidDel="00000000" w:rsidR="00000000" w:rsidRPr="00000000">
        <w:rPr>
          <w:rtl w:val="0"/>
        </w:rPr>
        <w:t xml:space="preserve">5.5.17. O fiscal do contrato comunicará ao gestor do contrato, em tempo hábil, o término do contrato sob sua responsabilidade, com vistas à tempestiva renovação ou prorrogação contratual.</w:t>
      </w:r>
    </w:p>
    <w:p w:rsidR="00000000" w:rsidDel="00000000" w:rsidP="00000000" w:rsidRDefault="00000000" w:rsidRPr="00000000" w14:paraId="00000088">
      <w:pPr>
        <w:ind w:left="2" w:right="-74" w:hanging="2"/>
        <w:jc w:val="both"/>
        <w:rPr/>
      </w:pPr>
      <w:r w:rsidDel="00000000" w:rsidR="00000000" w:rsidRPr="00000000">
        <w:rPr>
          <w:rtl w:val="0"/>
        </w:rPr>
        <w:t xml:space="preserve">5.5.18. O gestor do contrato deverá elaborar relatório final com informações sobre a consecução dos objetivos que tenham justificado a contratação e eventuais condutas a serem adotadas para o aprimoramento das atividades da Administração.</w:t>
      </w:r>
    </w:p>
    <w:p w:rsidR="00000000" w:rsidDel="00000000" w:rsidP="00000000" w:rsidRDefault="00000000" w:rsidRPr="00000000" w14:paraId="00000089">
      <w:pPr>
        <w:ind w:left="2" w:right="-74" w:hanging="2"/>
        <w:jc w:val="both"/>
        <w:rPr/>
      </w:pPr>
      <w:r w:rsidDel="00000000" w:rsidR="00000000" w:rsidRPr="00000000">
        <w:rPr>
          <w:rtl w:val="0"/>
        </w:rPr>
        <w:t xml:space="preserve">5.5.19. O gestor do contrato deverá enviar a documentação pertinente ao setor de contratos para a formalização dos procedimentos de liquidação e pagamento, no valor dimensionado pela fiscalização e gestão nos termos do contrato.</w:t>
      </w:r>
    </w:p>
    <w:p w:rsidR="00000000" w:rsidDel="00000000" w:rsidP="00000000" w:rsidRDefault="00000000" w:rsidRPr="00000000" w14:paraId="0000008A">
      <w:pPr>
        <w:ind w:left="2" w:right="-74" w:hanging="2"/>
        <w:jc w:val="both"/>
        <w:rPr>
          <w:sz w:val="22"/>
          <w:szCs w:val="22"/>
        </w:rPr>
      </w:pPr>
      <w:r w:rsidDel="00000000" w:rsidR="00000000" w:rsidRPr="00000000">
        <w:rPr>
          <w:rtl w:val="0"/>
        </w:rPr>
      </w:r>
    </w:p>
    <w:p w:rsidR="00000000" w:rsidDel="00000000" w:rsidP="00000000" w:rsidRDefault="00000000" w:rsidRPr="00000000" w14:paraId="0000008B">
      <w:pPr>
        <w:ind w:left="2" w:right="-362" w:hanging="2"/>
        <w:jc w:val="both"/>
        <w:rPr>
          <w:b w:val="1"/>
          <w:bCs w:val="1"/>
        </w:rPr>
      </w:pPr>
      <w:r w:rsidDel="00000000" w:rsidR="00000000" w:rsidRPr="00000000">
        <w:rPr>
          <w:b w:val="1"/>
          <w:bCs w:val="1"/>
          <w:rtl w:val="0"/>
        </w:rPr>
        <w:t xml:space="preserve">5.6. DA DURAÇÃO DO CONTRATO:</w:t>
      </w:r>
    </w:p>
    <w:p w:rsidR="00000000" w:rsidDel="00000000" w:rsidP="00000000" w:rsidRDefault="00000000" w:rsidRPr="00000000" w14:paraId="0000008C">
      <w:pPr>
        <w:ind w:left="2" w:right="-362" w:hanging="2"/>
        <w:jc w:val="both"/>
        <w:rPr/>
      </w:pPr>
      <w:r w:rsidDel="00000000" w:rsidR="00000000" w:rsidRPr="00000000">
        <w:rPr>
          <w:rtl w:val="0"/>
        </w:rPr>
        <w:t xml:space="preserve">5.6.1. Previsão de data em que deve ser assinado o instrumento contratual: 02/2026.</w:t>
      </w:r>
    </w:p>
    <w:p w:rsidR="00000000" w:rsidDel="00000000" w:rsidP="00000000" w:rsidRDefault="00000000" w:rsidRPr="00000000" w14:paraId="0000008D">
      <w:pPr>
        <w:ind w:left="2" w:right="-362" w:hanging="2"/>
        <w:jc w:val="both"/>
        <w:rPr/>
      </w:pPr>
      <w:r w:rsidDel="00000000" w:rsidR="00000000" w:rsidRPr="00000000">
        <w:rPr>
          <w:rtl w:val="0"/>
        </w:rPr>
        <w:t xml:space="preserve">5.6.2. Estimada de disponibilização do bem/serviço: 02/2026.</w:t>
      </w:r>
    </w:p>
    <w:p w:rsidR="00000000" w:rsidDel="00000000" w:rsidP="00000000" w:rsidRDefault="00000000" w:rsidRPr="00000000" w14:paraId="0000008E">
      <w:pPr>
        <w:ind w:left="2" w:right="-362" w:hanging="2"/>
        <w:jc w:val="both"/>
        <w:rPr/>
      </w:pPr>
      <w:r w:rsidDel="00000000" w:rsidR="00000000" w:rsidRPr="00000000">
        <w:rPr>
          <w:rtl w:val="0"/>
        </w:rPr>
        <w:t xml:space="preserve">5.6.3. Data início da execução:  03/2026.</w:t>
      </w:r>
    </w:p>
    <w:p w:rsidR="00000000" w:rsidDel="00000000" w:rsidP="00000000" w:rsidRDefault="00000000" w:rsidRPr="00000000" w14:paraId="0000008F">
      <w:pPr>
        <w:ind w:left="2" w:right="-362" w:hanging="2"/>
        <w:jc w:val="both"/>
        <w:rPr/>
      </w:pPr>
      <w:r w:rsidDel="00000000" w:rsidR="00000000" w:rsidRPr="00000000">
        <w:rPr>
          <w:rtl w:val="0"/>
        </w:rPr>
        <w:t xml:space="preserve">5.6.4. Durante a vigência do contrato, a CONTRATADA fica obrigada a manter seu cadastro, endereço eletrônico, telefone e responsável pelas operações, atualizados, situação que deve ser inserida em termo de referência como obrigação da CONTRATADA.</w:t>
      </w:r>
    </w:p>
    <w:p w:rsidR="00000000" w:rsidDel="00000000" w:rsidP="00000000" w:rsidRDefault="00000000" w:rsidRPr="00000000" w14:paraId="00000090">
      <w:pPr>
        <w:ind w:left="2" w:right="-74" w:hanging="2"/>
        <w:jc w:val="both"/>
        <w:rPr/>
      </w:pPr>
      <w:r w:rsidDel="00000000" w:rsidR="00000000" w:rsidRPr="00000000">
        <w:rPr>
          <w:rtl w:val="0"/>
        </w:rPr>
      </w:r>
    </w:p>
    <w:p w:rsidR="00000000" w:rsidDel="00000000" w:rsidP="00000000" w:rsidRDefault="00000000" w:rsidRPr="00000000" w14:paraId="00000091">
      <w:pPr>
        <w:ind w:left="2" w:right="-362" w:hanging="2"/>
        <w:jc w:val="both"/>
        <w:rPr>
          <w:b w:val="1"/>
          <w:bCs w:val="1"/>
        </w:rPr>
      </w:pPr>
      <w:r w:rsidDel="00000000" w:rsidR="00000000" w:rsidRPr="00000000">
        <w:rPr>
          <w:b w:val="1"/>
          <w:bCs w:val="1"/>
          <w:rtl w:val="0"/>
        </w:rPr>
        <w:t xml:space="preserve">5.7 GARANTIA DA CONTRATAÇÃO</w:t>
      </w:r>
    </w:p>
    <w:p w:rsidR="00000000" w:rsidDel="00000000" w:rsidP="00000000" w:rsidRDefault="00000000" w:rsidRPr="00000000" w14:paraId="00000092">
      <w:pPr>
        <w:ind w:left="2" w:right="-74" w:hanging="2"/>
        <w:jc w:val="both"/>
        <w:rPr/>
      </w:pPr>
      <w:r w:rsidDel="00000000" w:rsidR="00000000" w:rsidRPr="00000000">
        <w:rPr>
          <w:rtl w:val="0"/>
        </w:rPr>
        <w:t xml:space="preserve">5.7.1.  Não haverá exigência da garantia da contratação dos</w:t>
      </w:r>
      <w:hyperlink r:id="rId8">
        <w:r w:rsidDel="00000000" w:rsidR="00000000" w:rsidRPr="00000000">
          <w:rPr>
            <w:rtl w:val="0"/>
          </w:rPr>
          <w:t xml:space="preserve"> artigos 96 e seguintes da Lei nº 14.133, de 2021</w:t>
        </w:r>
      </w:hyperlink>
      <w:r w:rsidDel="00000000" w:rsidR="00000000" w:rsidRPr="00000000">
        <w:rPr>
          <w:rtl w:val="0"/>
        </w:rPr>
        <w:t xml:space="preserve">. No entanto, a ausência de garantia não exime o fornecedor de sua responsabilidade pela perfeita execução do contrato. O inadimplemento de qualquer obrigação contratual poderá ensejar a aplicação das penalidades previstas neste instrumento, incluindo a retenção de pagamentos.</w:t>
      </w:r>
    </w:p>
    <w:p w:rsidR="00000000" w:rsidDel="00000000" w:rsidP="00000000" w:rsidRDefault="00000000" w:rsidRPr="00000000" w14:paraId="00000093">
      <w:pPr>
        <w:ind w:left="2" w:right="-362" w:hanging="2"/>
        <w:jc w:val="both"/>
        <w:rPr>
          <w:sz w:val="22"/>
          <w:szCs w:val="22"/>
        </w:rPr>
      </w:pPr>
      <w:r w:rsidDel="00000000" w:rsidR="00000000" w:rsidRPr="00000000">
        <w:rPr>
          <w:rtl w:val="0"/>
        </w:rPr>
      </w:r>
    </w:p>
    <w:p w:rsidR="00000000" w:rsidDel="00000000" w:rsidP="00000000" w:rsidRDefault="00000000" w:rsidRPr="00000000" w14:paraId="00000094">
      <w:pPr>
        <w:ind w:left="2" w:right="-362" w:hanging="2"/>
        <w:jc w:val="both"/>
        <w:rPr>
          <w:b w:val="1"/>
          <w:bCs w:val="1"/>
        </w:rPr>
      </w:pPr>
      <w:r w:rsidDel="00000000" w:rsidR="00000000" w:rsidRPr="00000000">
        <w:rPr>
          <w:b w:val="1"/>
          <w:bCs w:val="1"/>
          <w:rtl w:val="0"/>
        </w:rPr>
        <w:t xml:space="preserve">5.8. DO PAGAMENTO</w:t>
      </w:r>
    </w:p>
    <w:p w:rsidR="00000000" w:rsidDel="00000000" w:rsidP="00000000" w:rsidRDefault="00000000" w:rsidRPr="00000000" w14:paraId="00000095">
      <w:pPr>
        <w:ind w:left="2" w:right="-74" w:hanging="2"/>
        <w:jc w:val="both"/>
        <w:rPr/>
      </w:pPr>
      <w:r w:rsidDel="00000000" w:rsidR="00000000" w:rsidRPr="00000000">
        <w:rPr>
          <w:rtl w:val="0"/>
        </w:rPr>
        <w:t xml:space="preserve">5.8.1. Considerando que não demanda a presente contratação de exigência de garantia e execução de serviços, não será permitido pagamento antecipado, parcial ou total, relativo a parcelas contratuais vinculadas à prestação de serviços.</w:t>
      </w:r>
    </w:p>
    <w:p w:rsidR="00000000" w:rsidDel="00000000" w:rsidP="00000000" w:rsidRDefault="00000000" w:rsidRPr="00000000" w14:paraId="00000096">
      <w:pPr>
        <w:ind w:left="2" w:right="-74" w:hanging="2"/>
        <w:jc w:val="both"/>
        <w:rPr/>
      </w:pPr>
      <w:r w:rsidDel="00000000" w:rsidR="00000000" w:rsidRPr="00000000">
        <w:rPr>
          <w:rtl w:val="0"/>
        </w:rPr>
        <w:t xml:space="preserve">5.8.2. O fechamento da realização dos serviços será feito de forma mensal.</w:t>
      </w:r>
    </w:p>
    <w:p w:rsidR="00000000" w:rsidDel="00000000" w:rsidP="00000000" w:rsidRDefault="00000000" w:rsidRPr="00000000" w14:paraId="00000097">
      <w:pPr>
        <w:ind w:left="2" w:right="-74" w:hanging="2"/>
        <w:jc w:val="both"/>
        <w:rPr/>
      </w:pPr>
      <w:r w:rsidDel="00000000" w:rsidR="00000000" w:rsidRPr="00000000">
        <w:rPr>
          <w:rtl w:val="0"/>
        </w:rPr>
        <w:t xml:space="preserve">5.8.3. O pagamento será efetuado no prazo de 30 (trinta) contados a partir do atesto da Nota Fiscal.</w:t>
      </w:r>
    </w:p>
    <w:p w:rsidR="00000000" w:rsidDel="00000000" w:rsidP="00000000" w:rsidRDefault="00000000" w:rsidRPr="00000000" w14:paraId="00000098">
      <w:pPr>
        <w:ind w:right="-2" w:hanging="2"/>
        <w:jc w:val="both"/>
        <w:rPr>
          <w:highlight w:val="white"/>
        </w:rPr>
      </w:pPr>
      <w:r w:rsidDel="00000000" w:rsidR="00000000" w:rsidRPr="00000000">
        <w:rPr>
          <w:rtl w:val="0"/>
        </w:rPr>
      </w:r>
    </w:p>
    <w:p w:rsidR="00000000" w:rsidDel="00000000" w:rsidP="00000000" w:rsidRDefault="00000000" w:rsidRPr="00000000" w14:paraId="00000099">
      <w:pPr>
        <w:shd w:fill="d9d9d9" w:val="clear"/>
        <w:ind w:left="2" w:right="-74" w:hanging="2"/>
        <w:jc w:val="both"/>
        <w:rPr>
          <w:b w:val="1"/>
          <w:bCs w:val="1"/>
        </w:rPr>
      </w:pPr>
      <w:r w:rsidDel="00000000" w:rsidR="00000000" w:rsidRPr="00000000">
        <w:rPr>
          <w:b w:val="1"/>
          <w:bCs w:val="1"/>
          <w:rtl w:val="0"/>
        </w:rPr>
        <w:t xml:space="preserve">6. REQUISITOS DA CONTRATAÇÃO </w:t>
      </w:r>
    </w:p>
    <w:p w:rsidR="00000000" w:rsidDel="00000000" w:rsidP="00000000" w:rsidRDefault="00000000" w:rsidRPr="00000000" w14:paraId="0000009A">
      <w:pPr>
        <w:ind w:left="2" w:hanging="2"/>
        <w:jc w:val="both"/>
        <w:rPr>
          <w:b w:val="1"/>
          <w:bCs w:val="1"/>
        </w:rPr>
      </w:pPr>
      <w:r w:rsidDel="00000000" w:rsidR="00000000" w:rsidRPr="00000000">
        <w:rPr>
          <w:b w:val="1"/>
          <w:bCs w:val="1"/>
          <w:rtl w:val="0"/>
        </w:rPr>
        <w:t xml:space="preserve">6. 1. SUSTENTABILIDADE</w:t>
      </w:r>
    </w:p>
    <w:p w:rsidR="00000000" w:rsidDel="00000000" w:rsidP="00000000" w:rsidRDefault="00000000" w:rsidRPr="00000000" w14:paraId="0000009B">
      <w:pPr>
        <w:ind w:left="2" w:hanging="2"/>
        <w:jc w:val="both"/>
        <w:rPr/>
      </w:pPr>
      <w:r w:rsidDel="00000000" w:rsidR="00000000" w:rsidRPr="00000000">
        <w:rPr>
          <w:rtl w:val="0"/>
        </w:rPr>
        <w:t xml:space="preserve">6.1.1. Além dos critérios de sustentabilidade do Guia Nacional das Contratações Sustentáveis e eventualmente inseridos na descrição do objeto, devem ser atendidos os seguintes requisitos:</w:t>
      </w:r>
    </w:p>
    <w:p w:rsidR="00000000" w:rsidDel="00000000" w:rsidP="00000000" w:rsidRDefault="00000000" w:rsidRPr="00000000" w14:paraId="0000009C">
      <w:pPr>
        <w:ind w:left="2" w:hanging="2"/>
        <w:jc w:val="both"/>
        <w:rPr/>
      </w:pPr>
      <w:r w:rsidDel="00000000" w:rsidR="00000000" w:rsidRPr="00000000">
        <w:rPr>
          <w:rtl w:val="0"/>
        </w:rPr>
        <w:t xml:space="preserve">6.1.1.1. Para os itens solicitados só serão admitidos a oferta de produtos que passaram por procedimentos higiênicos-sanitários habilitados para consumo conforme Resolução-RDC ANVISA nº 216/04.</w:t>
      </w:r>
    </w:p>
    <w:p w:rsidR="00000000" w:rsidDel="00000000" w:rsidP="00000000" w:rsidRDefault="00000000" w:rsidRPr="00000000" w14:paraId="0000009D">
      <w:pPr>
        <w:ind w:left="2" w:hanging="2"/>
        <w:jc w:val="both"/>
        <w:rPr/>
      </w:pPr>
      <w:r w:rsidDel="00000000" w:rsidR="00000000" w:rsidRPr="00000000">
        <w:rPr>
          <w:rtl w:val="0"/>
        </w:rPr>
        <w:t xml:space="preserve">6.1.2. Conforme Decreto Municipal 3.537/2023, art. 361 e seguintes, a Administração adotará, sempre que possível, práticas e/ou critérios sustentáveis, quais sejam:</w:t>
      </w:r>
    </w:p>
    <w:p w:rsidR="00000000" w:rsidDel="00000000" w:rsidP="00000000" w:rsidRDefault="00000000" w:rsidRPr="00000000" w14:paraId="0000009E">
      <w:pPr>
        <w:ind w:left="2" w:hanging="2"/>
        <w:jc w:val="both"/>
        <w:rPr/>
      </w:pPr>
      <w:r w:rsidDel="00000000" w:rsidR="00000000" w:rsidRPr="00000000">
        <w:rPr>
          <w:rtl w:val="0"/>
        </w:rPr>
        <w:t xml:space="preserve">6.1.3. Menor impacto sobre recursos naturais como flora, fauna, ar, solo e água.</w:t>
      </w:r>
    </w:p>
    <w:p w:rsidR="00000000" w:rsidDel="00000000" w:rsidP="00000000" w:rsidRDefault="00000000" w:rsidRPr="00000000" w14:paraId="0000009F">
      <w:pPr>
        <w:ind w:left="2" w:hanging="2"/>
        <w:jc w:val="both"/>
        <w:rPr/>
      </w:pPr>
      <w:r w:rsidDel="00000000" w:rsidR="00000000" w:rsidRPr="00000000">
        <w:rPr>
          <w:rtl w:val="0"/>
        </w:rPr>
        <w:t xml:space="preserve">6.1.4. Preferência para materiais, tecnologias e matérias-primas de origem local.</w:t>
      </w:r>
    </w:p>
    <w:p w:rsidR="00000000" w:rsidDel="00000000" w:rsidP="00000000" w:rsidRDefault="00000000" w:rsidRPr="00000000" w14:paraId="000000A0">
      <w:pPr>
        <w:ind w:left="2" w:hanging="2"/>
        <w:jc w:val="both"/>
        <w:rPr/>
      </w:pPr>
      <w:r w:rsidDel="00000000" w:rsidR="00000000" w:rsidRPr="00000000">
        <w:rPr>
          <w:rtl w:val="0"/>
        </w:rPr>
        <w:t xml:space="preserve">6.1.5. Maior eficiência na utilização de recursos naturais como água e energia.</w:t>
      </w:r>
    </w:p>
    <w:p w:rsidR="00000000" w:rsidDel="00000000" w:rsidP="00000000" w:rsidRDefault="00000000" w:rsidRPr="00000000" w14:paraId="000000A1">
      <w:pPr>
        <w:ind w:left="2" w:hanging="2"/>
        <w:jc w:val="both"/>
        <w:rPr/>
      </w:pPr>
      <w:r w:rsidDel="00000000" w:rsidR="00000000" w:rsidRPr="00000000">
        <w:rPr>
          <w:rtl w:val="0"/>
        </w:rPr>
        <w:t xml:space="preserve">6.1.6. Maior geração de empregos, preferencialmente com mão de obra local.</w:t>
      </w:r>
    </w:p>
    <w:p w:rsidR="00000000" w:rsidDel="00000000" w:rsidP="00000000" w:rsidRDefault="00000000" w:rsidRPr="00000000" w14:paraId="000000A2">
      <w:pPr>
        <w:ind w:left="2" w:hanging="2"/>
        <w:jc w:val="both"/>
        <w:rPr/>
      </w:pPr>
      <w:r w:rsidDel="00000000" w:rsidR="00000000" w:rsidRPr="00000000">
        <w:rPr>
          <w:rtl w:val="0"/>
        </w:rPr>
        <w:t xml:space="preserve">6.1.7. Maior vida útil e menor custo de manutenção do bem.</w:t>
      </w:r>
    </w:p>
    <w:p w:rsidR="00000000" w:rsidDel="00000000" w:rsidP="00000000" w:rsidRDefault="00000000" w:rsidRPr="00000000" w14:paraId="000000A3">
      <w:pPr>
        <w:ind w:left="2" w:hanging="2"/>
        <w:jc w:val="both"/>
        <w:rPr/>
      </w:pPr>
      <w:r w:rsidDel="00000000" w:rsidR="00000000" w:rsidRPr="00000000">
        <w:rPr>
          <w:rtl w:val="0"/>
        </w:rPr>
        <w:t xml:space="preserve">6.1.8. Uso de inovações que reduzam a pressão sobre recursos naturais. </w:t>
      </w:r>
    </w:p>
    <w:p w:rsidR="00000000" w:rsidDel="00000000" w:rsidP="00000000" w:rsidRDefault="00000000" w:rsidRPr="00000000" w14:paraId="000000A4">
      <w:pPr>
        <w:ind w:left="2" w:hanging="2"/>
        <w:jc w:val="both"/>
        <w:rPr/>
      </w:pPr>
      <w:r w:rsidDel="00000000" w:rsidR="00000000" w:rsidRPr="00000000">
        <w:rPr>
          <w:rtl w:val="0"/>
        </w:rPr>
        <w:t xml:space="preserve">6.1.9. Origem sustentável dos recursos naturais utilizados nos bens e serviços contratados. </w:t>
      </w:r>
    </w:p>
    <w:p w:rsidR="00000000" w:rsidDel="00000000" w:rsidP="00000000" w:rsidRDefault="00000000" w:rsidRPr="00000000" w14:paraId="000000A5">
      <w:pPr>
        <w:ind w:left="2" w:hanging="2"/>
        <w:jc w:val="both"/>
        <w:rPr/>
      </w:pPr>
      <w:r w:rsidDel="00000000" w:rsidR="00000000" w:rsidRPr="00000000">
        <w:rPr>
          <w:rtl w:val="0"/>
        </w:rPr>
        <w:t xml:space="preserve">6.1.10. Utilização de produtos florestais madeireiros e não madeireiros originários de manejo florestal sustentável ou de reflorestamento.</w:t>
      </w:r>
    </w:p>
    <w:p w:rsidR="00000000" w:rsidDel="00000000" w:rsidP="00000000" w:rsidRDefault="00000000" w:rsidRPr="00000000" w14:paraId="000000A6">
      <w:pPr>
        <w:ind w:left="2" w:hanging="2"/>
        <w:jc w:val="both"/>
        <w:rPr/>
      </w:pPr>
      <w:r w:rsidDel="00000000" w:rsidR="00000000" w:rsidRPr="00000000">
        <w:rPr>
          <w:rtl w:val="0"/>
        </w:rPr>
        <w:t xml:space="preserve">6.1.11. A Administração poderá considerar, como critério de seleção dos licitantes e contratantes interessados, produtos e serviços ambiental e socialmente sustentáveis, quando comparados aos outros produtos e serviços que servem à mesma finalidade, devendo ser considerados, para tanto, a origem dos insumos, forma de produção, manufatura, embalagem, distribuição, destino, utilização de produtos recicláveis, operação, manutenção e execução do serviço.</w:t>
      </w:r>
    </w:p>
    <w:p w:rsidR="00000000" w:rsidDel="00000000" w:rsidP="00000000" w:rsidRDefault="00000000" w:rsidRPr="00000000" w14:paraId="000000A7">
      <w:pPr>
        <w:ind w:left="2" w:hanging="2"/>
        <w:jc w:val="both"/>
        <w:rPr/>
      </w:pPr>
      <w:r w:rsidDel="00000000" w:rsidR="00000000" w:rsidRPr="00000000">
        <w:rPr>
          <w:rtl w:val="0"/>
        </w:rPr>
        <w:t xml:space="preserve">6.1.12. O contratado adotará as seguintes práticas de sustentabilidade, quando couber:</w:t>
      </w:r>
    </w:p>
    <w:p w:rsidR="00000000" w:rsidDel="00000000" w:rsidP="00000000" w:rsidRDefault="00000000" w:rsidRPr="00000000" w14:paraId="000000A8">
      <w:pPr>
        <w:ind w:left="2" w:hanging="2"/>
        <w:jc w:val="both"/>
        <w:rPr/>
      </w:pPr>
      <w:r w:rsidDel="00000000" w:rsidR="00000000" w:rsidRPr="00000000">
        <w:rPr>
          <w:rtl w:val="0"/>
        </w:rPr>
        <w:t xml:space="preserve"> 6.1.13. Que os bens sejam constituídos, no todo ou em parte, por material reciclado, atóxico, biodegradável, conforme normas específicas da ABNT.</w:t>
      </w:r>
    </w:p>
    <w:p w:rsidR="00000000" w:rsidDel="00000000" w:rsidP="00000000" w:rsidRDefault="00000000" w:rsidRPr="00000000" w14:paraId="000000A9">
      <w:pPr>
        <w:ind w:left="2" w:hanging="2"/>
        <w:jc w:val="both"/>
        <w:rPr/>
      </w:pPr>
      <w:r w:rsidDel="00000000" w:rsidR="00000000" w:rsidRPr="00000000">
        <w:rPr>
          <w:rtl w:val="0"/>
        </w:rPr>
        <w:t xml:space="preserve">6.1.14. Que sejam observados os requisitos ambientais para a obtenção de certificação do Instituto Nacional de Metrologia, Normalização e Qualidade Industrial - INMETRO, como produtos sustentáveis ou de menor impacto ambiental em relação aos seus similares. </w:t>
      </w:r>
    </w:p>
    <w:p w:rsidR="00000000" w:rsidDel="00000000" w:rsidP="00000000" w:rsidRDefault="00000000" w:rsidRPr="00000000" w14:paraId="000000AA">
      <w:pPr>
        <w:ind w:left="2" w:hanging="2"/>
        <w:jc w:val="both"/>
        <w:rPr/>
      </w:pPr>
      <w:r w:rsidDel="00000000" w:rsidR="00000000" w:rsidRPr="00000000">
        <w:rPr>
          <w:rtl w:val="0"/>
        </w:rPr>
        <w:t xml:space="preserve">6.1.15. Que os bens devam ser, preferencialmente, acondicionados em embalagem individual adequada, com o menor volume possível, que utilize materiais recicláveis, de forma a garantir a máxima proteção durante o transporte e o armazenamento.</w:t>
      </w:r>
    </w:p>
    <w:p w:rsidR="00000000" w:rsidDel="00000000" w:rsidP="00000000" w:rsidRDefault="00000000" w:rsidRPr="00000000" w14:paraId="000000AB">
      <w:pPr>
        <w:ind w:left="2" w:hanging="2"/>
        <w:jc w:val="both"/>
        <w:rPr/>
      </w:pPr>
      <w:r w:rsidDel="00000000" w:rsidR="00000000" w:rsidRPr="00000000">
        <w:rPr>
          <w:rtl w:val="0"/>
        </w:rPr>
        <w:t xml:space="preserve">6.1.16. Que os bens não contenham substâncias perigosas em concentração acima da recomendada na diretiva RoHS (Restriction of Certain Hazardous Substances), tais como mercúrio (Hg), chumbo (Pb), cromo hexavalente (Cr(VI)), cádmio (Cd), bifenilpolibromados (PBBs), éteres difenil-polibromados (PBDEs). </w:t>
      </w:r>
    </w:p>
    <w:p w:rsidR="00000000" w:rsidDel="00000000" w:rsidP="00000000" w:rsidRDefault="00000000" w:rsidRPr="00000000" w14:paraId="000000AC">
      <w:pPr>
        <w:ind w:left="2" w:hanging="2"/>
        <w:jc w:val="both"/>
        <w:rPr/>
      </w:pPr>
      <w:r w:rsidDel="00000000" w:rsidR="00000000" w:rsidRPr="00000000">
        <w:rPr>
          <w:rtl w:val="0"/>
        </w:rPr>
        <w:t xml:space="preserve">6.1.17. A comprovação deverá ser feita mediante apresentação de certificação emitida por instituição pública oficial ou instituição credenciada, ou por qualquer outro meio de prova que ateste que o bem fornecido cumpre com as exigências do edital.</w:t>
      </w:r>
    </w:p>
    <w:p w:rsidR="00000000" w:rsidDel="00000000" w:rsidP="00000000" w:rsidRDefault="00000000" w:rsidRPr="00000000" w14:paraId="000000AD">
      <w:pPr>
        <w:ind w:left="2" w:hanging="2"/>
        <w:jc w:val="both"/>
        <w:rPr/>
      </w:pPr>
      <w:r w:rsidDel="00000000" w:rsidR="00000000" w:rsidRPr="00000000">
        <w:rPr>
          <w:rtl w:val="0"/>
        </w:rPr>
        <w:t xml:space="preserve">6.1.18. Selecionada a proposta, antes da assinatura do contrato, em caso de inexistência de certificação que ateste a adequação, o órgão ou entidade contratante poderá realizar diligências para verificar a adequação do produto às exigências do ato convocatório, correndo as despesas por conta da licitante selecionada.</w:t>
      </w:r>
    </w:p>
    <w:p w:rsidR="00000000" w:rsidDel="00000000" w:rsidP="00000000" w:rsidRDefault="00000000" w:rsidRPr="00000000" w14:paraId="000000AE">
      <w:pPr>
        <w:ind w:left="2" w:hanging="2"/>
        <w:jc w:val="both"/>
        <w:rPr/>
      </w:pPr>
      <w:r w:rsidDel="00000000" w:rsidR="00000000" w:rsidRPr="00000000">
        <w:rPr>
          <w:rtl w:val="0"/>
        </w:rPr>
        <w:t xml:space="preserve">6.1.19. Caso não se confirme a adequação do produto, a proposta selecionada será desclassificada.</w:t>
      </w:r>
    </w:p>
    <w:p w:rsidR="00000000" w:rsidDel="00000000" w:rsidP="00000000" w:rsidRDefault="00000000" w:rsidRPr="00000000" w14:paraId="000000AF">
      <w:pPr>
        <w:ind w:left="2" w:hanging="2"/>
        <w:jc w:val="both"/>
        <w:rPr/>
      </w:pPr>
      <w:r w:rsidDel="00000000" w:rsidR="00000000" w:rsidRPr="00000000">
        <w:rPr>
          <w:rtl w:val="0"/>
        </w:rPr>
        <w:t xml:space="preserve">6.1.20. Caberá ao contratado apresentar declaração de atendimento e responsabilização com a logística reversa dos produtos, embalagens e serviços pós-consumo no limite da proporção que fornecerem ao Poder Público, assumindo a responsabilidade pela destinação final ambientalmente adequada.</w:t>
      </w:r>
    </w:p>
    <w:p w:rsidR="00000000" w:rsidDel="00000000" w:rsidP="00000000" w:rsidRDefault="00000000" w:rsidRPr="00000000" w14:paraId="000000B0">
      <w:pPr>
        <w:ind w:left="2" w:hanging="2"/>
        <w:jc w:val="both"/>
        <w:rPr/>
      </w:pPr>
      <w:r w:rsidDel="00000000" w:rsidR="00000000" w:rsidRPr="00000000">
        <w:rPr>
          <w:rtl w:val="0"/>
        </w:rPr>
        <w:t xml:space="preserve">6.1.21. Entende-se por logística reversa o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w:t>
      </w:r>
    </w:p>
    <w:p w:rsidR="00000000" w:rsidDel="00000000" w:rsidP="00000000" w:rsidRDefault="00000000" w:rsidRPr="00000000" w14:paraId="000000B1">
      <w:pPr>
        <w:ind w:left="2" w:hanging="2"/>
        <w:jc w:val="both"/>
        <w:rPr/>
      </w:pPr>
      <w:r w:rsidDel="00000000" w:rsidR="00000000" w:rsidRPr="00000000">
        <w:rPr>
          <w:rtl w:val="0"/>
        </w:rPr>
        <w:t xml:space="preserve">6.1.22. Não serão admitidas as empresas licitantes condenadas por condutas derivadas de atividades lesivas ao meio ambiente, após sentença condenatória transitada em julgado, consoante à Lei 9.605/1998.</w:t>
      </w:r>
    </w:p>
    <w:p w:rsidR="00000000" w:rsidDel="00000000" w:rsidP="00000000" w:rsidRDefault="00000000" w:rsidRPr="00000000" w14:paraId="000000B2">
      <w:pPr>
        <w:ind w:left="2" w:hanging="2"/>
        <w:jc w:val="both"/>
        <w:rPr/>
      </w:pPr>
      <w:r w:rsidDel="00000000" w:rsidR="00000000" w:rsidRPr="00000000">
        <w:rPr>
          <w:rtl w:val="0"/>
        </w:rPr>
      </w:r>
    </w:p>
    <w:p w:rsidR="00000000" w:rsidDel="00000000" w:rsidP="00000000" w:rsidRDefault="00000000" w:rsidRPr="00000000" w14:paraId="000000B3">
      <w:pPr>
        <w:ind w:left="2" w:hanging="2"/>
        <w:jc w:val="both"/>
        <w:rPr>
          <w:b w:val="1"/>
          <w:bCs w:val="1"/>
        </w:rPr>
      </w:pPr>
      <w:r w:rsidDel="00000000" w:rsidR="00000000" w:rsidRPr="00000000">
        <w:rPr>
          <w:b w:val="1"/>
          <w:bCs w:val="1"/>
          <w:rtl w:val="0"/>
        </w:rPr>
        <w:t xml:space="preserve">Subcontratação</w:t>
      </w:r>
    </w:p>
    <w:p w:rsidR="00000000" w:rsidDel="00000000" w:rsidP="00000000" w:rsidRDefault="00000000" w:rsidRPr="00000000" w14:paraId="000000B4">
      <w:pPr>
        <w:ind w:left="2" w:hanging="2"/>
        <w:jc w:val="both"/>
        <w:rPr/>
      </w:pPr>
      <w:r w:rsidDel="00000000" w:rsidR="00000000" w:rsidRPr="00000000">
        <w:rPr>
          <w:rtl w:val="0"/>
        </w:rPr>
        <w:t xml:space="preserve">6.2. É vedada a subcontratação completa ou da parcela principal do objeto da contratação</w:t>
      </w:r>
    </w:p>
    <w:p w:rsidR="00000000" w:rsidDel="00000000" w:rsidP="00000000" w:rsidRDefault="00000000" w:rsidRPr="00000000" w14:paraId="000000B5">
      <w:pPr>
        <w:ind w:left="2" w:hanging="2"/>
        <w:jc w:val="both"/>
        <w:rPr/>
      </w:pPr>
      <w:r w:rsidDel="00000000" w:rsidR="00000000" w:rsidRPr="00000000">
        <w:rPr>
          <w:rtl w:val="0"/>
        </w:rPr>
      </w:r>
    </w:p>
    <w:p w:rsidR="00000000" w:rsidDel="00000000" w:rsidP="00000000" w:rsidRDefault="00000000" w:rsidRPr="00000000" w14:paraId="000000B6">
      <w:pPr>
        <w:ind w:left="2" w:hanging="2"/>
        <w:jc w:val="both"/>
        <w:rPr>
          <w:b w:val="1"/>
          <w:bCs w:val="1"/>
        </w:rPr>
      </w:pPr>
      <w:r w:rsidDel="00000000" w:rsidR="00000000" w:rsidRPr="00000000">
        <w:rPr>
          <w:b w:val="1"/>
          <w:bCs w:val="1"/>
          <w:rtl w:val="0"/>
        </w:rPr>
        <w:t xml:space="preserve">Garantia da contratação </w:t>
      </w:r>
    </w:p>
    <w:p w:rsidR="00000000" w:rsidDel="00000000" w:rsidP="00000000" w:rsidRDefault="00000000" w:rsidRPr="00000000" w14:paraId="000000B7">
      <w:pPr>
        <w:ind w:left="2" w:hanging="2"/>
        <w:jc w:val="both"/>
        <w:rPr/>
      </w:pPr>
      <w:r w:rsidDel="00000000" w:rsidR="00000000" w:rsidRPr="00000000">
        <w:rPr>
          <w:rtl w:val="0"/>
        </w:rPr>
        <w:t xml:space="preserve">6.3. Não haverá exigência da garantia da contratação dos artigos 96 e seguintes da Lei nº 14.133, de 2021.</w:t>
      </w:r>
    </w:p>
    <w:p w:rsidR="00000000" w:rsidDel="00000000" w:rsidP="00000000" w:rsidRDefault="00000000" w:rsidRPr="00000000" w14:paraId="000000B8">
      <w:pPr>
        <w:ind w:left="2" w:hanging="2"/>
        <w:jc w:val="both"/>
        <w:rPr/>
      </w:pPr>
      <w:r w:rsidDel="00000000" w:rsidR="00000000" w:rsidRPr="00000000">
        <w:rPr>
          <w:rtl w:val="0"/>
        </w:rPr>
      </w:r>
    </w:p>
    <w:p w:rsidR="00000000" w:rsidDel="00000000" w:rsidP="00000000" w:rsidRDefault="00000000" w:rsidRPr="00000000" w14:paraId="000000B9">
      <w:pPr>
        <w:ind w:left="2" w:hanging="2"/>
        <w:jc w:val="both"/>
        <w:rPr>
          <w:b w:val="1"/>
          <w:bCs w:val="1"/>
        </w:rPr>
      </w:pPr>
      <w:r w:rsidDel="00000000" w:rsidR="00000000" w:rsidRPr="00000000">
        <w:rPr>
          <w:b w:val="1"/>
          <w:bCs w:val="1"/>
          <w:rtl w:val="0"/>
        </w:rPr>
        <w:t xml:space="preserve">Indicação de marcas ou modelos</w:t>
      </w:r>
    </w:p>
    <w:p w:rsidR="00000000" w:rsidDel="00000000" w:rsidP="00000000" w:rsidRDefault="00000000" w:rsidRPr="00000000" w14:paraId="000000BA">
      <w:pPr>
        <w:ind w:left="2" w:hanging="2"/>
        <w:jc w:val="both"/>
        <w:rPr/>
      </w:pPr>
      <w:r w:rsidDel="00000000" w:rsidR="00000000" w:rsidRPr="00000000">
        <w:rPr>
          <w:rtl w:val="0"/>
        </w:rPr>
        <w:t xml:space="preserve">6.4. Não será indicado marcas e modelos para o objeto.</w:t>
      </w:r>
    </w:p>
    <w:p w:rsidR="00000000" w:rsidDel="00000000" w:rsidP="00000000" w:rsidRDefault="00000000" w:rsidRPr="00000000" w14:paraId="000000BB">
      <w:pPr>
        <w:ind w:left="2" w:hanging="2"/>
        <w:jc w:val="both"/>
        <w:rPr/>
      </w:pPr>
      <w:r w:rsidDel="00000000" w:rsidR="00000000" w:rsidRPr="00000000">
        <w:rPr>
          <w:rtl w:val="0"/>
        </w:rPr>
      </w:r>
    </w:p>
    <w:p w:rsidR="00000000" w:rsidDel="00000000" w:rsidP="00000000" w:rsidRDefault="00000000" w:rsidRPr="00000000" w14:paraId="000000BC">
      <w:pPr>
        <w:ind w:left="2" w:hanging="2"/>
        <w:jc w:val="both"/>
        <w:rPr>
          <w:b w:val="1"/>
          <w:bCs w:val="1"/>
        </w:rPr>
      </w:pPr>
      <w:r w:rsidDel="00000000" w:rsidR="00000000" w:rsidRPr="00000000">
        <w:rPr>
          <w:b w:val="1"/>
          <w:bCs w:val="1"/>
          <w:rtl w:val="0"/>
        </w:rPr>
        <w:t xml:space="preserve">Da exigência de amostra</w:t>
      </w:r>
    </w:p>
    <w:p w:rsidR="00000000" w:rsidDel="00000000" w:rsidP="00000000" w:rsidRDefault="00000000" w:rsidRPr="00000000" w14:paraId="000000BD">
      <w:pPr>
        <w:ind w:left="2" w:hanging="2"/>
        <w:jc w:val="both"/>
        <w:rPr>
          <w:highlight w:val="white"/>
        </w:rPr>
      </w:pPr>
      <w:r w:rsidDel="00000000" w:rsidR="00000000" w:rsidRPr="00000000">
        <w:rPr>
          <w:rtl w:val="0"/>
        </w:rPr>
        <w:t xml:space="preserve">6.5. Não será exigida amostra.</w:t>
      </w:r>
      <w:r w:rsidDel="00000000" w:rsidR="00000000" w:rsidRPr="00000000">
        <w:rPr>
          <w:rtl w:val="0"/>
        </w:rPr>
      </w:r>
    </w:p>
    <w:p w:rsidR="00000000" w:rsidDel="00000000" w:rsidP="00000000" w:rsidRDefault="00000000" w:rsidRPr="00000000" w14:paraId="000000BE">
      <w:pPr>
        <w:ind w:right="-2" w:hanging="2"/>
        <w:jc w:val="both"/>
        <w:rPr>
          <w:highlight w:val="white"/>
        </w:rPr>
      </w:pPr>
      <w:r w:rsidDel="00000000" w:rsidR="00000000" w:rsidRPr="00000000">
        <w:rPr>
          <w:rtl w:val="0"/>
        </w:rPr>
      </w:r>
    </w:p>
    <w:p w:rsidR="00000000" w:rsidDel="00000000" w:rsidP="00000000" w:rsidRDefault="00000000" w:rsidRPr="00000000" w14:paraId="000000BF">
      <w:pPr>
        <w:shd w:fill="d9d9d9" w:val="clear"/>
        <w:ind w:left="2" w:right="-74" w:hanging="2"/>
        <w:jc w:val="both"/>
        <w:rPr>
          <w:b w:val="1"/>
          <w:bCs w:val="1"/>
          <w:sz w:val="22"/>
          <w:szCs w:val="22"/>
        </w:rPr>
      </w:pPr>
      <w:bookmarkStart w:colFirst="0" w:colLast="0" w:name="_heading=h.pcdm7ze947ip" w:id="4"/>
      <w:bookmarkEnd w:id="4"/>
      <w:r w:rsidDel="00000000" w:rsidR="00000000" w:rsidRPr="00000000">
        <w:rPr>
          <w:b w:val="1"/>
          <w:bCs w:val="1"/>
          <w:sz w:val="22"/>
          <w:szCs w:val="22"/>
          <w:rtl w:val="0"/>
        </w:rPr>
        <w:t xml:space="preserve">7. MODELO DE EXECUÇÃO DO OBJETO</w:t>
      </w:r>
    </w:p>
    <w:p w:rsidR="00000000" w:rsidDel="00000000" w:rsidP="00000000" w:rsidRDefault="00000000" w:rsidRPr="00000000" w14:paraId="000000C0">
      <w:pPr>
        <w:ind w:left="2" w:hanging="2"/>
        <w:jc w:val="both"/>
        <w:rPr>
          <w:b w:val="1"/>
          <w:bCs w:val="1"/>
        </w:rPr>
      </w:pPr>
      <w:r w:rsidDel="00000000" w:rsidR="00000000" w:rsidRPr="00000000">
        <w:rPr>
          <w:b w:val="1"/>
          <w:bCs w:val="1"/>
          <w:rtl w:val="0"/>
        </w:rPr>
        <w:t xml:space="preserve">7.1 Condições de Entrega</w:t>
      </w:r>
    </w:p>
    <w:p w:rsidR="00000000" w:rsidDel="00000000" w:rsidP="00000000" w:rsidRDefault="00000000" w:rsidRPr="00000000" w14:paraId="000000C1">
      <w:pPr>
        <w:ind w:right="-144" w:firstLine="0"/>
        <w:jc w:val="both"/>
        <w:rPr>
          <w:sz w:val="22"/>
          <w:szCs w:val="22"/>
        </w:rPr>
      </w:pPr>
      <w:r w:rsidDel="00000000" w:rsidR="00000000" w:rsidRPr="00000000">
        <w:rPr>
          <w:sz w:val="22"/>
          <w:szCs w:val="22"/>
          <w:rtl w:val="0"/>
        </w:rPr>
        <w:t xml:space="preserve">7.1 Condições de Entrega</w:t>
      </w:r>
    </w:p>
    <w:p w:rsidR="00000000" w:rsidDel="00000000" w:rsidP="00000000" w:rsidRDefault="00000000" w:rsidRPr="00000000" w14:paraId="000000C2">
      <w:pPr>
        <w:ind w:right="-144" w:firstLine="0"/>
        <w:jc w:val="both"/>
        <w:rPr>
          <w:sz w:val="22"/>
          <w:szCs w:val="22"/>
        </w:rPr>
      </w:pPr>
      <w:r w:rsidDel="00000000" w:rsidR="00000000" w:rsidRPr="00000000">
        <w:rPr>
          <w:sz w:val="22"/>
          <w:szCs w:val="22"/>
          <w:rtl w:val="0"/>
        </w:rPr>
        <w:t xml:space="preserve">7.2. As aquisições irão ocorrer de forma fracionada, conforme demanda da área requisitante.</w:t>
      </w:r>
    </w:p>
    <w:p w:rsidR="00000000" w:rsidDel="00000000" w:rsidP="00000000" w:rsidRDefault="00000000" w:rsidRPr="00000000" w14:paraId="000000C3">
      <w:pPr>
        <w:ind w:right="-144" w:firstLine="0"/>
        <w:jc w:val="both"/>
        <w:rPr>
          <w:sz w:val="22"/>
          <w:szCs w:val="22"/>
        </w:rPr>
      </w:pPr>
      <w:r w:rsidDel="00000000" w:rsidR="00000000" w:rsidRPr="00000000">
        <w:rPr>
          <w:sz w:val="22"/>
          <w:szCs w:val="22"/>
          <w:rtl w:val="0"/>
        </w:rPr>
        <w:t xml:space="preserve">7.3. O fornecedor terá até 10 (dez) dias para entregar os bens, contados do envio da nota de empenho ou solicitação de fornecimento, que ocorrerá preferencialmente por meio eletrônico, ao endereço de e-mail informado.</w:t>
      </w:r>
    </w:p>
    <w:p w:rsidR="00000000" w:rsidDel="00000000" w:rsidP="00000000" w:rsidRDefault="00000000" w:rsidRPr="00000000" w14:paraId="000000C4">
      <w:pPr>
        <w:ind w:right="-144" w:firstLine="0"/>
        <w:jc w:val="both"/>
        <w:rPr>
          <w:sz w:val="22"/>
          <w:szCs w:val="22"/>
        </w:rPr>
      </w:pPr>
      <w:r w:rsidDel="00000000" w:rsidR="00000000" w:rsidRPr="00000000">
        <w:rPr>
          <w:sz w:val="22"/>
          <w:szCs w:val="22"/>
          <w:rtl w:val="0"/>
        </w:rPr>
        <w:t xml:space="preserve">7.4. Caso não seja possível a entrega na data indicada acima, o fornecedor deverá comunicar as razões respectivas com pelo menos 05 (cinco) dias de antecedência para que qualquer pleito de prorrogação de prazo seja analisado, ressalvadas situações de caso fortuito e força maior.</w:t>
      </w:r>
    </w:p>
    <w:p w:rsidR="00000000" w:rsidDel="00000000" w:rsidP="00000000" w:rsidRDefault="00000000" w:rsidRPr="00000000" w14:paraId="000000C5">
      <w:pPr>
        <w:ind w:right="-144" w:firstLine="0"/>
        <w:jc w:val="both"/>
        <w:rPr>
          <w:sz w:val="22"/>
          <w:szCs w:val="22"/>
        </w:rPr>
      </w:pPr>
      <w:r w:rsidDel="00000000" w:rsidR="00000000" w:rsidRPr="00000000">
        <w:rPr>
          <w:sz w:val="22"/>
          <w:szCs w:val="22"/>
          <w:rtl w:val="0"/>
        </w:rPr>
        <w:t xml:space="preserve">7.4.1. As aquisições poderão ser fracionadas (de acordo pedido da secretaria) no seguinte endereço: Rua Benedito Bernardes de Oliveira, 293, Centro, CEP 86.360-147 – Bandeirantes – PR, ou conforme endereço a ser informado serão informados no ato do pedido. Horário de recebimento: das 07:30 às 11:00 das 13:00 às 16:30 horas de segunda a sexta-feira. </w:t>
      </w:r>
    </w:p>
    <w:p w:rsidR="00000000" w:rsidDel="00000000" w:rsidP="00000000" w:rsidRDefault="00000000" w:rsidRPr="00000000" w14:paraId="000000C6">
      <w:pPr>
        <w:ind w:right="-144" w:firstLine="0"/>
        <w:jc w:val="both"/>
        <w:rPr>
          <w:sz w:val="22"/>
          <w:szCs w:val="22"/>
        </w:rPr>
      </w:pPr>
      <w:r w:rsidDel="00000000" w:rsidR="00000000" w:rsidRPr="00000000">
        <w:rPr>
          <w:sz w:val="22"/>
          <w:szCs w:val="22"/>
          <w:rtl w:val="0"/>
        </w:rPr>
        <w:t xml:space="preserve">7.4.2. Caso o local para entrega tenha como acesso via de escada, fica o fornecedor ciente da obrigação de entregar até o andar indicado pela área requisitante, não cabendo qualquer ônus ao município a este título.</w:t>
      </w:r>
    </w:p>
    <w:p w:rsidR="00000000" w:rsidDel="00000000" w:rsidP="00000000" w:rsidRDefault="00000000" w:rsidRPr="00000000" w14:paraId="000000C7">
      <w:pPr>
        <w:ind w:right="-144" w:firstLine="0"/>
        <w:jc w:val="both"/>
        <w:rPr>
          <w:i w:val="1"/>
          <w:iCs w:val="1"/>
          <w:sz w:val="22"/>
          <w:szCs w:val="22"/>
        </w:rPr>
      </w:pPr>
      <w:r w:rsidDel="00000000" w:rsidR="00000000" w:rsidRPr="00000000">
        <w:rPr>
          <w:i w:val="1"/>
          <w:iCs w:val="1"/>
          <w:sz w:val="22"/>
          <w:szCs w:val="22"/>
          <w:rtl w:val="0"/>
        </w:rPr>
        <w:t xml:space="preserve">Observação: O item 7.5. foi excluído deste Termo de Referência. Os itens descritos não se tratam de produtos perecíveis, sendo impertinente a indicação de prazo de validade razoável recomendado pelo fabricante.</w:t>
      </w:r>
    </w:p>
    <w:p w:rsidR="00000000" w:rsidDel="00000000" w:rsidP="00000000" w:rsidRDefault="00000000" w:rsidRPr="00000000" w14:paraId="000000C8">
      <w:pPr>
        <w:ind w:right="-144" w:firstLine="0"/>
        <w:jc w:val="both"/>
        <w:rPr>
          <w:sz w:val="22"/>
          <w:szCs w:val="22"/>
        </w:rPr>
      </w:pPr>
      <w:r w:rsidDel="00000000" w:rsidR="00000000" w:rsidRPr="00000000">
        <w:rPr>
          <w:sz w:val="22"/>
          <w:szCs w:val="22"/>
          <w:rtl w:val="0"/>
        </w:rPr>
        <w:t xml:space="preserve">7.6.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000000" w:rsidDel="00000000" w:rsidP="00000000" w:rsidRDefault="00000000" w:rsidRPr="00000000" w14:paraId="000000C9">
      <w:pPr>
        <w:ind w:right="-144" w:firstLine="0"/>
        <w:jc w:val="both"/>
        <w:rPr>
          <w:sz w:val="22"/>
          <w:szCs w:val="22"/>
        </w:rPr>
      </w:pPr>
      <w:r w:rsidDel="00000000" w:rsidR="00000000" w:rsidRPr="00000000">
        <w:rPr>
          <w:sz w:val="22"/>
          <w:szCs w:val="22"/>
          <w:rtl w:val="0"/>
        </w:rPr>
        <w:t xml:space="preserve">7.7. A garantia será prestada com vistas a manter o(s) produto(s) fornecidos em perfeitas condições de uso/consumo, sem qualquer ônus/custo adicional para o município.</w:t>
      </w:r>
    </w:p>
    <w:p w:rsidR="00000000" w:rsidDel="00000000" w:rsidP="00000000" w:rsidRDefault="00000000" w:rsidRPr="00000000" w14:paraId="000000CA">
      <w:pPr>
        <w:ind w:right="-144" w:firstLine="0"/>
        <w:jc w:val="both"/>
        <w:rPr>
          <w:sz w:val="22"/>
          <w:szCs w:val="22"/>
        </w:rPr>
      </w:pPr>
      <w:r w:rsidDel="00000000" w:rsidR="00000000" w:rsidRPr="00000000">
        <w:rPr>
          <w:sz w:val="22"/>
          <w:szCs w:val="22"/>
          <w:rtl w:val="0"/>
        </w:rPr>
        <w:t xml:space="preserve">7.8. O custo referente ao transporte dos equipamentos cobertos pela garantia será de responsabilidade do Contratado.</w:t>
      </w:r>
    </w:p>
    <w:p w:rsidR="00000000" w:rsidDel="00000000" w:rsidP="00000000" w:rsidRDefault="00000000" w:rsidRPr="00000000" w14:paraId="000000CB">
      <w:pPr>
        <w:ind w:right="-144" w:firstLine="0"/>
        <w:jc w:val="both"/>
        <w:rPr>
          <w:sz w:val="22"/>
          <w:szCs w:val="22"/>
        </w:rPr>
      </w:pPr>
      <w:r w:rsidDel="00000000" w:rsidR="00000000" w:rsidRPr="00000000">
        <w:rPr>
          <w:sz w:val="22"/>
          <w:szCs w:val="22"/>
          <w:rtl w:val="0"/>
        </w:rPr>
        <w:t xml:space="preserve">7.9. A garantia será prestada com vistas a manter os itens fornecidos em perfeitas condições de uso, sem qualquer ônus ou custo adicional para o Contratante.</w:t>
      </w:r>
    </w:p>
    <w:p w:rsidR="00000000" w:rsidDel="00000000" w:rsidP="00000000" w:rsidRDefault="00000000" w:rsidRPr="00000000" w14:paraId="000000CC">
      <w:pPr>
        <w:ind w:right="-144" w:firstLine="0"/>
        <w:jc w:val="both"/>
        <w:rPr>
          <w:sz w:val="22"/>
          <w:szCs w:val="22"/>
        </w:rPr>
      </w:pPr>
      <w:r w:rsidDel="00000000" w:rsidR="00000000" w:rsidRPr="00000000">
        <w:rPr>
          <w:sz w:val="22"/>
          <w:szCs w:val="22"/>
          <w:rtl w:val="0"/>
        </w:rPr>
        <w:t xml:space="preserve">7.10. Os itens que apresentarem vício ou defeito no período de vigência da garantia deverão ser substituídos por outros novos, de primeiro uso, e originais, que apresentem padrões de qualidade e desempenho iguais ou superiores aos fornecidos. </w:t>
      </w:r>
    </w:p>
    <w:p w:rsidR="00000000" w:rsidDel="00000000" w:rsidP="00000000" w:rsidRDefault="00000000" w:rsidRPr="00000000" w14:paraId="000000CD">
      <w:pPr>
        <w:ind w:right="-144" w:firstLine="0"/>
        <w:jc w:val="both"/>
        <w:rPr>
          <w:sz w:val="22"/>
          <w:szCs w:val="22"/>
        </w:rPr>
      </w:pPr>
      <w:r w:rsidDel="00000000" w:rsidR="00000000" w:rsidRPr="00000000">
        <w:rPr>
          <w:sz w:val="22"/>
          <w:szCs w:val="22"/>
          <w:rtl w:val="0"/>
        </w:rPr>
        <w:t xml:space="preserve">7.11. Uma vez notificado, o fornecedor realizará a substituição dos itens que apresentarem vício ou defeito no prazo de até 20 (vinte) dias úteis, contados a partir da data de retirada do objeto das dependências da Administração pelo fornecedor ou por ele delegada a tarefa de fazê-lo.</w:t>
      </w:r>
    </w:p>
    <w:p w:rsidR="00000000" w:rsidDel="00000000" w:rsidP="00000000" w:rsidRDefault="00000000" w:rsidRPr="00000000" w14:paraId="000000CE">
      <w:pPr>
        <w:ind w:right="-144" w:firstLine="0"/>
        <w:jc w:val="both"/>
        <w:rPr>
          <w:sz w:val="22"/>
          <w:szCs w:val="22"/>
        </w:rPr>
      </w:pPr>
      <w:r w:rsidDel="00000000" w:rsidR="00000000" w:rsidRPr="00000000">
        <w:rPr>
          <w:sz w:val="22"/>
          <w:szCs w:val="22"/>
          <w:rtl w:val="0"/>
        </w:rPr>
        <w:t xml:space="preserve">7.12. O prazo indicado no subitem anterior, durante seu transcurso, poderá ser prorrogado uma única vez, por igual período, mediante solicitação escrita e justificada do Contratado, aceita pelo Contratante.</w:t>
      </w:r>
    </w:p>
    <w:p w:rsidR="00000000" w:rsidDel="00000000" w:rsidP="00000000" w:rsidRDefault="00000000" w:rsidRPr="00000000" w14:paraId="000000CF">
      <w:pPr>
        <w:ind w:right="-144" w:firstLine="0"/>
        <w:jc w:val="both"/>
        <w:rPr>
          <w:sz w:val="22"/>
          <w:szCs w:val="22"/>
        </w:rPr>
      </w:pPr>
      <w:r w:rsidDel="00000000" w:rsidR="00000000" w:rsidRPr="00000000">
        <w:rPr>
          <w:sz w:val="22"/>
          <w:szCs w:val="22"/>
          <w:rtl w:val="0"/>
        </w:rPr>
        <w:t xml:space="preserve">7.13. Decorrido o prazo para substituição, sem o atendimento da solicitação do Contratante ou a apresentação de justificativas pelo Contratado, fica o Contratante autorizado a contratar empresa diversa para realizar ajustes ou a substituição do item, bem como a exigir do Contratado o reembolso pelos custos respectivos, sem que tal fato acarrete a perda da garantia dos itens.</w:t>
      </w:r>
    </w:p>
    <w:p w:rsidR="00000000" w:rsidDel="00000000" w:rsidP="00000000" w:rsidRDefault="00000000" w:rsidRPr="00000000" w14:paraId="000000D0">
      <w:pPr>
        <w:ind w:right="-144" w:firstLine="0"/>
        <w:jc w:val="both"/>
        <w:rPr>
          <w:sz w:val="22"/>
          <w:szCs w:val="22"/>
        </w:rPr>
      </w:pPr>
      <w:r w:rsidDel="00000000" w:rsidR="00000000" w:rsidRPr="00000000">
        <w:rPr>
          <w:sz w:val="22"/>
          <w:szCs w:val="22"/>
          <w:rtl w:val="0"/>
        </w:rPr>
        <w:t xml:space="preserve">7.14. O custo referente ao transporte dos itens cobertos pela garantia será de responsabilidade do Contratado.</w:t>
      </w:r>
    </w:p>
    <w:p w:rsidR="00000000" w:rsidDel="00000000" w:rsidP="00000000" w:rsidRDefault="00000000" w:rsidRPr="00000000" w14:paraId="000000D1">
      <w:pPr>
        <w:ind w:right="-144" w:firstLine="0"/>
        <w:jc w:val="both"/>
        <w:rPr>
          <w:sz w:val="22"/>
          <w:szCs w:val="22"/>
        </w:rPr>
      </w:pPr>
      <w:r w:rsidDel="00000000" w:rsidR="00000000" w:rsidRPr="00000000">
        <w:rPr>
          <w:rtl w:val="0"/>
        </w:rPr>
      </w:r>
    </w:p>
    <w:p w:rsidR="00000000" w:rsidDel="00000000" w:rsidP="00000000" w:rsidRDefault="00000000" w:rsidRPr="00000000" w14:paraId="000000D2">
      <w:pPr>
        <w:ind w:left="2" w:hanging="2"/>
        <w:jc w:val="both"/>
        <w:rPr>
          <w:b w:val="1"/>
          <w:bCs w:val="1"/>
        </w:rPr>
      </w:pPr>
      <w:r w:rsidDel="00000000" w:rsidR="00000000" w:rsidRPr="00000000">
        <w:rPr>
          <w:b w:val="1"/>
          <w:bCs w:val="1"/>
          <w:rtl w:val="0"/>
        </w:rPr>
        <w:t xml:space="preserve">Garantia, manutenção e assistência técnica  </w:t>
      </w:r>
    </w:p>
    <w:p w:rsidR="00000000" w:rsidDel="00000000" w:rsidP="00000000" w:rsidRDefault="00000000" w:rsidRPr="00000000" w14:paraId="000000D3">
      <w:pPr>
        <w:ind w:left="2" w:hanging="2"/>
        <w:jc w:val="both"/>
        <w:rPr/>
      </w:pPr>
      <w:r w:rsidDel="00000000" w:rsidR="00000000" w:rsidRPr="00000000">
        <w:rPr>
          <w:rtl w:val="0"/>
        </w:rPr>
        <w:t xml:space="preserve">7.2. Não haverá exigência de garantia, manutenção e assistência técnica.  </w:t>
      </w:r>
    </w:p>
    <w:p w:rsidR="00000000" w:rsidDel="00000000" w:rsidP="00000000" w:rsidRDefault="00000000" w:rsidRPr="00000000" w14:paraId="000000D4">
      <w:pPr>
        <w:ind w:left="2" w:hanging="2"/>
        <w:jc w:val="both"/>
        <w:rPr/>
      </w:pPr>
      <w:r w:rsidDel="00000000" w:rsidR="00000000" w:rsidRPr="00000000">
        <w:rPr>
          <w:rtl w:val="0"/>
        </w:rPr>
      </w:r>
    </w:p>
    <w:p w:rsidR="00000000" w:rsidDel="00000000" w:rsidP="00000000" w:rsidRDefault="00000000" w:rsidRPr="00000000" w14:paraId="000000D5">
      <w:pPr>
        <w:shd w:fill="d9d9d9" w:val="clear"/>
        <w:ind w:left="2" w:right="-74" w:hanging="2"/>
        <w:jc w:val="both"/>
        <w:rPr>
          <w:b w:val="1"/>
          <w:bCs w:val="1"/>
        </w:rPr>
      </w:pPr>
      <w:r w:rsidDel="00000000" w:rsidR="00000000" w:rsidRPr="00000000">
        <w:rPr>
          <w:b w:val="1"/>
          <w:bCs w:val="1"/>
          <w:rtl w:val="0"/>
        </w:rPr>
        <w:t xml:space="preserve">8. MODELO DE GESTÃO DO CONTRATO</w:t>
      </w:r>
    </w:p>
    <w:p w:rsidR="00000000" w:rsidDel="00000000" w:rsidP="00000000" w:rsidRDefault="00000000" w:rsidRPr="00000000" w14:paraId="000000D6">
      <w:pPr>
        <w:ind w:hanging="2"/>
        <w:jc w:val="both"/>
        <w:rPr/>
      </w:pPr>
      <w:r w:rsidDel="00000000" w:rsidR="00000000" w:rsidRPr="00000000">
        <w:rPr>
          <w:rtl w:val="0"/>
        </w:rPr>
        <w:t xml:space="preserve">8.1. O contrato deverá ser executado fielmente pelas partes, de acordo com as cláusulas avençadas e as normas da Lei nº 14.133, de 1º de abril de 2021, e cada parte responderá pelas consequências de sua inexecução total ou parcial.</w:t>
      </w:r>
    </w:p>
    <w:p w:rsidR="00000000" w:rsidDel="00000000" w:rsidP="00000000" w:rsidRDefault="00000000" w:rsidRPr="00000000" w14:paraId="000000D7">
      <w:pPr>
        <w:ind w:hanging="2"/>
        <w:jc w:val="both"/>
        <w:rPr/>
      </w:pPr>
      <w:r w:rsidDel="00000000" w:rsidR="00000000" w:rsidRPr="00000000">
        <w:rPr>
          <w:rtl w:val="0"/>
        </w:rPr>
        <w:t xml:space="preserve">8.2. Em caso de impedimento, ordem de paralisação ou suspensão do contrato, o cronograma de execução será prorrogado automaticamente pelo tempo correspondente, anotadas tais circunstâncias mediante simples apostila.</w:t>
      </w:r>
    </w:p>
    <w:p w:rsidR="00000000" w:rsidDel="00000000" w:rsidP="00000000" w:rsidRDefault="00000000" w:rsidRPr="00000000" w14:paraId="000000D8">
      <w:pPr>
        <w:ind w:hanging="2"/>
        <w:jc w:val="both"/>
        <w:rPr/>
      </w:pPr>
      <w:r w:rsidDel="00000000" w:rsidR="00000000" w:rsidRPr="00000000">
        <w:rPr>
          <w:rtl w:val="0"/>
        </w:rPr>
        <w:t xml:space="preserve">8.3. As comunicações entre o órgão ou entidade e a contratada devem ser realizadas por escrito sempre que o ato exigir tal formalidade, admitindo-se o uso de mensagem eletrônica para esse fim.</w:t>
      </w:r>
    </w:p>
    <w:p w:rsidR="00000000" w:rsidDel="00000000" w:rsidP="00000000" w:rsidRDefault="00000000" w:rsidRPr="00000000" w14:paraId="000000D9">
      <w:pPr>
        <w:ind w:hanging="2"/>
        <w:jc w:val="both"/>
        <w:rPr/>
      </w:pPr>
      <w:r w:rsidDel="00000000" w:rsidR="00000000" w:rsidRPr="00000000">
        <w:rPr>
          <w:rtl w:val="0"/>
        </w:rPr>
        <w:t xml:space="preserve">8.4. O órgão ou entidade poderá convocar representante da empresa para adoção de providências que devam ser cumpridas de imediato.</w:t>
      </w:r>
    </w:p>
    <w:p w:rsidR="00000000" w:rsidDel="00000000" w:rsidP="00000000" w:rsidRDefault="00000000" w:rsidRPr="00000000" w14:paraId="000000DA">
      <w:pPr>
        <w:ind w:hanging="2"/>
        <w:jc w:val="both"/>
        <w:rPr/>
      </w:pPr>
      <w:r w:rsidDel="00000000" w:rsidR="00000000" w:rsidRPr="00000000">
        <w:rPr>
          <w:rtl w:val="0"/>
        </w:rPr>
        <w:t xml:space="preserve">8.5.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00000" w:rsidDel="00000000" w:rsidP="00000000" w:rsidRDefault="00000000" w:rsidRPr="00000000" w14:paraId="000000DB">
      <w:pPr>
        <w:ind w:hanging="2"/>
        <w:jc w:val="both"/>
        <w:rPr/>
      </w:pPr>
      <w:r w:rsidDel="00000000" w:rsidR="00000000" w:rsidRPr="00000000">
        <w:rPr>
          <w:rtl w:val="0"/>
        </w:rPr>
        <w:t xml:space="preserve">8.5.1. Os gestores e fiscais da execução do objeto são os indicados na Portaria nº </w:t>
      </w:r>
      <w:r w:rsidDel="00000000" w:rsidR="00000000" w:rsidRPr="00000000">
        <w:rPr>
          <w:sz w:val="20"/>
          <w:szCs w:val="20"/>
          <w:rtl w:val="0"/>
        </w:rPr>
        <w:t xml:space="preserve">2.404/2026</w:t>
      </w:r>
      <w:r w:rsidDel="00000000" w:rsidR="00000000" w:rsidRPr="00000000">
        <w:rPr>
          <w:rtl w:val="0"/>
        </w:rPr>
        <w:t xml:space="preserve"> ou aquela que vier a substituir. </w:t>
      </w:r>
    </w:p>
    <w:p w:rsidR="00000000" w:rsidDel="00000000" w:rsidP="00000000" w:rsidRDefault="00000000" w:rsidRPr="00000000" w14:paraId="000000DC">
      <w:pPr>
        <w:ind w:hanging="2"/>
        <w:jc w:val="both"/>
        <w:rPr/>
      </w:pPr>
      <w:r w:rsidDel="00000000" w:rsidR="00000000" w:rsidRPr="00000000">
        <w:rPr>
          <w:rtl w:val="0"/>
        </w:rPr>
        <w:t xml:space="preserve">8.6. A execução do contrato deverá ser acompanhada e fiscalizada pelo(s) fiscal(is) do contrato, ou pelos respectivos substitutos conforme portaria de nomeação. (Decreto nº. 3.537, de 09 de maio de 2023, art. 163).(Decreto nº. 3.537, de 09 de maio de 2023, art. 163);</w:t>
      </w:r>
    </w:p>
    <w:p w:rsidR="00000000" w:rsidDel="00000000" w:rsidP="00000000" w:rsidRDefault="00000000" w:rsidRPr="00000000" w14:paraId="000000DD">
      <w:pPr>
        <w:ind w:hanging="2"/>
        <w:jc w:val="both"/>
        <w:rPr/>
      </w:pPr>
      <w:r w:rsidDel="00000000" w:rsidR="00000000" w:rsidRPr="00000000">
        <w:rPr>
          <w:rtl w:val="0"/>
        </w:rPr>
        <w:t xml:space="preserve">8.7. O fiscal técnico do contrato acompanhará a execução do contrato, para que sejam cumpridas todas as condições estabelecidas no contrato, de modo a assegurar os melhores resultados para a Administração. (Decreto nº 3.537, de 09 de maio de 2023);</w:t>
      </w:r>
    </w:p>
    <w:p w:rsidR="00000000" w:rsidDel="00000000" w:rsidP="00000000" w:rsidRDefault="00000000" w:rsidRPr="00000000" w14:paraId="000000DE">
      <w:pPr>
        <w:ind w:hanging="2"/>
        <w:jc w:val="both"/>
        <w:rPr/>
      </w:pPr>
      <w:r w:rsidDel="00000000" w:rsidR="00000000" w:rsidRPr="00000000">
        <w:rPr>
          <w:rtl w:val="0"/>
        </w:rPr>
        <w:t xml:space="preserve">8.7.1. O fiscal técnico do contrato anotará no histórico de gerenciamento do contrato todas as ocorrências relacionadas à execução do contrato, com a descrição do que for necessário para a regularização das faltas ou dos defeitos observados.  (Decreto n° 3.537, de 09 de maio de 2023, art. 11, §1°); </w:t>
      </w:r>
    </w:p>
    <w:p w:rsidR="00000000" w:rsidDel="00000000" w:rsidP="00000000" w:rsidRDefault="00000000" w:rsidRPr="00000000" w14:paraId="000000DF">
      <w:pPr>
        <w:ind w:hanging="2"/>
        <w:jc w:val="both"/>
        <w:rPr/>
      </w:pPr>
      <w:r w:rsidDel="00000000" w:rsidR="00000000" w:rsidRPr="00000000">
        <w:rPr>
          <w:rtl w:val="0"/>
        </w:rPr>
        <w:t xml:space="preserve">8.7.2. Identificada qualquer inexatidão ou irregularidade, o fiscal técnico do contrato emitirá notificações para a correção da execução do contrato, determinando prazo para a correção. (Decreto nº 3.537, de 09 de maio de 2023, art. 12, II);</w:t>
      </w:r>
    </w:p>
    <w:p w:rsidR="00000000" w:rsidDel="00000000" w:rsidP="00000000" w:rsidRDefault="00000000" w:rsidRPr="00000000" w14:paraId="000000E0">
      <w:pPr>
        <w:ind w:hanging="2"/>
        <w:jc w:val="both"/>
        <w:rPr/>
      </w:pPr>
      <w:r w:rsidDel="00000000" w:rsidR="00000000" w:rsidRPr="00000000">
        <w:rPr>
          <w:rtl w:val="0"/>
        </w:rPr>
        <w:t xml:space="preserve">8.7.3.  O fiscal técnico do contrato informará ao gestor do contrato, em tempo hábil, a situação que demandar decisão ou adoção de medidas que ultrapassem sua competência, para que adote as medidas necessárias e saneadoras, se for o caso. (Decreto n° 3.537, de 09 de maio de 2023, art. 12);</w:t>
      </w:r>
    </w:p>
    <w:p w:rsidR="00000000" w:rsidDel="00000000" w:rsidP="00000000" w:rsidRDefault="00000000" w:rsidRPr="00000000" w14:paraId="000000E1">
      <w:pPr>
        <w:ind w:hanging="2"/>
        <w:jc w:val="both"/>
        <w:rPr/>
      </w:pPr>
      <w:r w:rsidDel="00000000" w:rsidR="00000000" w:rsidRPr="00000000">
        <w:rPr>
          <w:rtl w:val="0"/>
        </w:rPr>
        <w:t xml:space="preserve">8.7.4. No caso de ocorrências que possam inviabilizar a execução do contrato nas datas aprazadas, o fiscal técnico do contrato comunicará o fato imediatamente ao gestor do contrato. (Decreto n° 3.537, de 09 de maio de 2023, art. 12);</w:t>
      </w:r>
    </w:p>
    <w:p w:rsidR="00000000" w:rsidDel="00000000" w:rsidP="00000000" w:rsidRDefault="00000000" w:rsidRPr="00000000" w14:paraId="000000E2">
      <w:pPr>
        <w:ind w:hanging="2"/>
        <w:jc w:val="both"/>
        <w:rPr/>
      </w:pPr>
      <w:r w:rsidDel="00000000" w:rsidR="00000000" w:rsidRPr="00000000">
        <w:rPr>
          <w:rtl w:val="0"/>
        </w:rPr>
        <w:t xml:space="preserve">8.7.5. O fiscal técnico do contrato deverá comunicar ao gestor do contrato, em tempo hábil, o término do contrato sob sua responsabilidade, com vistas à renovação tempestiva ou à prorrogação contratual (Decreto nº 3.537, de 09 de maio de 2023, art. 12);</w:t>
      </w:r>
    </w:p>
    <w:p w:rsidR="00000000" w:rsidDel="00000000" w:rsidP="00000000" w:rsidRDefault="00000000" w:rsidRPr="00000000" w14:paraId="000000E3">
      <w:pPr>
        <w:ind w:hanging="2"/>
        <w:jc w:val="both"/>
        <w:rPr/>
      </w:pPr>
      <w:r w:rsidDel="00000000" w:rsidR="00000000" w:rsidRPr="00000000">
        <w:rPr>
          <w:rtl w:val="0"/>
        </w:rPr>
        <w:t xml:space="preserve">8.8.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nº 3.537, de 09 de maio de 2023, art. 12, §7°);</w:t>
      </w:r>
    </w:p>
    <w:p w:rsidR="00000000" w:rsidDel="00000000" w:rsidP="00000000" w:rsidRDefault="00000000" w:rsidRPr="00000000" w14:paraId="000000E4">
      <w:pPr>
        <w:ind w:hanging="2"/>
        <w:jc w:val="both"/>
        <w:rPr/>
      </w:pPr>
      <w:r w:rsidDel="00000000" w:rsidR="00000000" w:rsidRPr="00000000">
        <w:rPr>
          <w:rtl w:val="0"/>
        </w:rPr>
        <w:t xml:space="preserve">8.8.1. Caso ocorram descumprimento das obrigações contratuais, o fiscal administrativo do contrato atuará tempestivamente na solução do problema, reportando ao gestor do contrato para que tome as providências cabíveis, quando ultrapassar a sua competência; (Decreto n° 3.537, de 09 de maio de 2023, art. 12);</w:t>
      </w:r>
    </w:p>
    <w:p w:rsidR="00000000" w:rsidDel="00000000" w:rsidP="00000000" w:rsidRDefault="00000000" w:rsidRPr="00000000" w14:paraId="000000E5">
      <w:pPr>
        <w:ind w:hanging="2"/>
        <w:jc w:val="both"/>
        <w:rPr/>
      </w:pPr>
      <w:r w:rsidDel="00000000" w:rsidR="00000000" w:rsidRPr="00000000">
        <w:rPr>
          <w:rtl w:val="0"/>
        </w:rPr>
        <w:t xml:space="preserve">8.9.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3.537, de 09 de maio de 2023, art. 12); </w:t>
      </w:r>
    </w:p>
    <w:p w:rsidR="00000000" w:rsidDel="00000000" w:rsidP="00000000" w:rsidRDefault="00000000" w:rsidRPr="00000000" w14:paraId="000000E6">
      <w:pPr>
        <w:ind w:hanging="2"/>
        <w:jc w:val="both"/>
        <w:rPr/>
      </w:pPr>
      <w:r w:rsidDel="00000000" w:rsidR="00000000" w:rsidRPr="00000000">
        <w:rPr>
          <w:rtl w:val="0"/>
        </w:rPr>
        <w:t xml:space="preserve">8.9.1. O gestor do contrato acompanhará a manutenção das condições de habilitação da contratada, para fins de empenho de despesa e pagamento, e anotará os problemas que obstam o fluxo normal da liquidação e do pagamento da despesa no relatório de riscos eventuais. (Decreto nº 3.537, de 09 de maio de 2023, art. 12);</w:t>
      </w:r>
    </w:p>
    <w:p w:rsidR="00000000" w:rsidDel="00000000" w:rsidP="00000000" w:rsidRDefault="00000000" w:rsidRPr="00000000" w14:paraId="000000E7">
      <w:pPr>
        <w:ind w:hanging="2"/>
        <w:jc w:val="both"/>
        <w:rPr/>
      </w:pPr>
      <w:r w:rsidDel="00000000" w:rsidR="00000000" w:rsidRPr="00000000">
        <w:rPr>
          <w:rtl w:val="0"/>
        </w:rPr>
        <w:t xml:space="preserve">8.9.2. O gestor do contrato acompanhará os registros realizados pelos fiscais do contrato, de todas as ocorrências relacionadas à execução do contrato e as medidas adotadas, informando, se for o caso, à autoridade superior àquelas que ultrapassarem a sua competência. (Decreto nº 3.537, de 09 de maio de 2023, art. 12);</w:t>
      </w:r>
    </w:p>
    <w:p w:rsidR="00000000" w:rsidDel="00000000" w:rsidP="00000000" w:rsidRDefault="00000000" w:rsidRPr="00000000" w14:paraId="000000E8">
      <w:pPr>
        <w:ind w:hanging="2"/>
        <w:jc w:val="both"/>
        <w:rPr/>
      </w:pPr>
      <w:r w:rsidDel="00000000" w:rsidR="00000000" w:rsidRPr="00000000">
        <w:rPr>
          <w:rtl w:val="0"/>
        </w:rPr>
        <w:t xml:space="preserve">8.9.3.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3.537, de 09 de maio de 2023, art. 12);</w:t>
      </w:r>
    </w:p>
    <w:p w:rsidR="00000000" w:rsidDel="00000000" w:rsidP="00000000" w:rsidRDefault="00000000" w:rsidRPr="00000000" w14:paraId="000000E9">
      <w:pPr>
        <w:ind w:hanging="2"/>
        <w:jc w:val="both"/>
        <w:rPr/>
      </w:pPr>
      <w:r w:rsidDel="00000000" w:rsidR="00000000" w:rsidRPr="00000000">
        <w:rPr>
          <w:rtl w:val="0"/>
        </w:rPr>
        <w:t xml:space="preserve">8.9.4.O gestor do contrato tomará providências para a formalização de processo administrativo de responsabilização para fins de aplicação de sanções, a ser conduzido pela comissão de que trata o art. 201 do Decreto nº. 3.537, de 09 de maio de 2023, ou pelo agente ou pelo setor com competência para tal, conforme o caso. (Decreto nº 3.537, de 09 de maio de 2023, art. 10);</w:t>
      </w:r>
    </w:p>
    <w:p w:rsidR="00000000" w:rsidDel="00000000" w:rsidP="00000000" w:rsidRDefault="00000000" w:rsidRPr="00000000" w14:paraId="000000EA">
      <w:pPr>
        <w:ind w:hanging="2"/>
        <w:jc w:val="both"/>
        <w:rPr/>
      </w:pPr>
      <w:r w:rsidDel="00000000" w:rsidR="00000000" w:rsidRPr="00000000">
        <w:rPr>
          <w:rtl w:val="0"/>
        </w:rPr>
        <w:t xml:space="preserve">8.10. O fiscal administrativo do contrato comunicará ao gestor do contrato, em tempo hábil, o término do contrato sob sua responsabilidade, com vistas à tempestiva renovação ou prorrogação contratual (Decreto n° 3.537, de 09 de maio de 2023, art. 12);</w:t>
      </w:r>
    </w:p>
    <w:p w:rsidR="00000000" w:rsidDel="00000000" w:rsidP="00000000" w:rsidRDefault="00000000" w:rsidRPr="00000000" w14:paraId="000000EB">
      <w:pPr>
        <w:ind w:hanging="2"/>
        <w:jc w:val="both"/>
        <w:rPr/>
      </w:pPr>
      <w:r w:rsidDel="00000000" w:rsidR="00000000" w:rsidRPr="00000000">
        <w:rPr>
          <w:rtl w:val="0"/>
        </w:rPr>
        <w:t xml:space="preserve">8.11.  gestor do contrato elaborará relatório final com informações sobre a consecução dos objetivos que tenham justificado a contratação e eventuais condutas a serem adotadas para o aprimoramento das atividades da Administração. (Decreto nº 3.537, de 09 de maio de 2023, art. 10);</w:t>
      </w:r>
    </w:p>
    <w:p w:rsidR="00000000" w:rsidDel="00000000" w:rsidP="00000000" w:rsidRDefault="00000000" w:rsidRPr="00000000" w14:paraId="000000EC">
      <w:pPr>
        <w:ind w:hanging="2"/>
        <w:jc w:val="both"/>
        <w:rPr/>
      </w:pPr>
      <w:r w:rsidDel="00000000" w:rsidR="00000000" w:rsidRPr="00000000">
        <w:rPr>
          <w:rtl w:val="0"/>
        </w:rPr>
        <w:t xml:space="preserve">8.12. A periodicidade de reajuste do valor deste contrato será anual, conforme disposto na Lei Federal n.º 10.192, de 2001, utilizando-se o índice, caso seja o contrato prorrogado e sua execução/vigência exceda o prazo estipulado neste edital, o preço poderá ser revisado segundo o índice INPC, IPCA ou outro que apresente mais vantajosidade para a administração pública, exclusivamente para as obrigações iniciadas e concluídas após a ocorrência da anualidade, com data-base vinculada à data do orçamento estimado.</w:t>
      </w:r>
    </w:p>
    <w:p w:rsidR="00000000" w:rsidDel="00000000" w:rsidP="00000000" w:rsidRDefault="00000000" w:rsidRPr="00000000" w14:paraId="000000ED">
      <w:pPr>
        <w:ind w:left="2" w:hanging="2"/>
        <w:jc w:val="both"/>
        <w:rPr/>
      </w:pPr>
      <w:r w:rsidDel="00000000" w:rsidR="00000000" w:rsidRPr="00000000">
        <w:rPr>
          <w:rtl w:val="0"/>
        </w:rPr>
      </w:r>
    </w:p>
    <w:p w:rsidR="00000000" w:rsidDel="00000000" w:rsidP="00000000" w:rsidRDefault="00000000" w:rsidRPr="00000000" w14:paraId="000000EE">
      <w:pPr>
        <w:shd w:fill="d9d9d9" w:val="clear"/>
        <w:ind w:left="2" w:right="-74" w:hanging="2"/>
        <w:jc w:val="both"/>
        <w:rPr>
          <w:b w:val="1"/>
          <w:bCs w:val="1"/>
        </w:rPr>
      </w:pPr>
      <w:r w:rsidDel="00000000" w:rsidR="00000000" w:rsidRPr="00000000">
        <w:rPr>
          <w:b w:val="1"/>
          <w:bCs w:val="1"/>
          <w:rtl w:val="0"/>
        </w:rPr>
        <w:t xml:space="preserve">9. CRITÉRIOS DE MEDIÇÃO E DE PAGAMENTO</w:t>
      </w:r>
    </w:p>
    <w:p w:rsidR="00000000" w:rsidDel="00000000" w:rsidP="00000000" w:rsidRDefault="00000000" w:rsidRPr="00000000" w14:paraId="000000EF">
      <w:pPr>
        <w:ind w:left="2" w:hanging="2"/>
        <w:jc w:val="both"/>
        <w:rPr>
          <w:b w:val="1"/>
          <w:bCs w:val="1"/>
        </w:rPr>
      </w:pPr>
      <w:r w:rsidDel="00000000" w:rsidR="00000000" w:rsidRPr="00000000">
        <w:rPr>
          <w:b w:val="1"/>
          <w:bCs w:val="1"/>
          <w:rtl w:val="0"/>
        </w:rPr>
        <w:t xml:space="preserve">Recebimento do Objeto</w:t>
      </w:r>
    </w:p>
    <w:p w:rsidR="00000000" w:rsidDel="00000000" w:rsidP="00000000" w:rsidRDefault="00000000" w:rsidRPr="00000000" w14:paraId="000000F0">
      <w:pPr>
        <w:ind w:left="2" w:hanging="2"/>
        <w:jc w:val="both"/>
        <w:rPr/>
      </w:pPr>
      <w:r w:rsidDel="00000000" w:rsidR="00000000" w:rsidRPr="00000000">
        <w:rPr>
          <w:rtl w:val="0"/>
        </w:rPr>
        <w:t xml:space="preserve">9.1. Os itens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 </w:t>
      </w:r>
    </w:p>
    <w:p w:rsidR="00000000" w:rsidDel="00000000" w:rsidP="00000000" w:rsidRDefault="00000000" w:rsidRPr="00000000" w14:paraId="000000F1">
      <w:pPr>
        <w:ind w:left="2" w:hanging="2"/>
        <w:jc w:val="both"/>
        <w:rPr/>
      </w:pPr>
      <w:r w:rsidDel="00000000" w:rsidR="00000000" w:rsidRPr="00000000">
        <w:rPr>
          <w:rtl w:val="0"/>
        </w:rPr>
        <w:t xml:space="preserve">9.2. Os itens poderão ser rejeitados, no todo ou em parte, inclusive antes do recebimento provisório, quando em desacordo com as especificações constantes no Termo de Referência e na proposta, devendo ser substituídos no prazo de 10 (dez) dias, a contar da notificação da contratada, às suas custas, sem prejuízo da aplicação das penalidades.</w:t>
      </w:r>
    </w:p>
    <w:p w:rsidR="00000000" w:rsidDel="00000000" w:rsidP="00000000" w:rsidRDefault="00000000" w:rsidRPr="00000000" w14:paraId="000000F2">
      <w:pPr>
        <w:ind w:left="2" w:hanging="2"/>
        <w:jc w:val="both"/>
        <w:rPr/>
      </w:pPr>
      <w:r w:rsidDel="00000000" w:rsidR="00000000" w:rsidRPr="00000000">
        <w:rPr>
          <w:rtl w:val="0"/>
        </w:rPr>
        <w:t xml:space="preserve">9.3. O recebimento definitivo ocorrerá no prazo de 05 (cinco) dias úteis, a contar do recebimento da nota fiscal ou instrumento de cobrança equivalente pela Administração, após a verificação da qualidade e quantidade do material/serviço e consequente aceitação mediante termo detalhado. </w:t>
      </w:r>
    </w:p>
    <w:p w:rsidR="00000000" w:rsidDel="00000000" w:rsidP="00000000" w:rsidRDefault="00000000" w:rsidRPr="00000000" w14:paraId="000000F3">
      <w:pPr>
        <w:ind w:left="2" w:hanging="2"/>
        <w:jc w:val="both"/>
        <w:rPr/>
      </w:pPr>
      <w:r w:rsidDel="00000000" w:rsidR="00000000" w:rsidRPr="00000000">
        <w:rPr>
          <w:rtl w:val="0"/>
        </w:rPr>
        <w:t xml:space="preserve">9.4. O prazo para recebimento definitivo poderá ser excepcionalmente prorrogado, de forma justificada, por igual período, quando houver necessidade de diligências para a aferição do atendimento das exigências contratuais.</w:t>
      </w:r>
    </w:p>
    <w:p w:rsidR="00000000" w:rsidDel="00000000" w:rsidP="00000000" w:rsidRDefault="00000000" w:rsidRPr="00000000" w14:paraId="000000F4">
      <w:pPr>
        <w:ind w:left="2" w:hanging="2"/>
        <w:jc w:val="both"/>
        <w:rPr/>
      </w:pPr>
      <w:r w:rsidDel="00000000" w:rsidR="00000000" w:rsidRPr="00000000">
        <w:rPr>
          <w:rtl w:val="0"/>
        </w:rPr>
        <w:t xml:space="preserve">9.5. No caso de controvérsia sobre a execução do objeto, quanto à dimensão, qualidade e quantidade, deverá ser observado o teor do § 4º, do art. 39 do Decreto Municipal nº. 3537, de 09 de maio de 2023, comunicando-se à empresa para emissão de Nota Fiscal no que pertine à parcela incontroversa da execução do objeto, para efeito de liquidação e pagamento.</w:t>
      </w:r>
    </w:p>
    <w:p w:rsidR="00000000" w:rsidDel="00000000" w:rsidP="00000000" w:rsidRDefault="00000000" w:rsidRPr="00000000" w14:paraId="000000F5">
      <w:pPr>
        <w:ind w:left="2" w:hanging="2"/>
        <w:jc w:val="both"/>
        <w:rPr/>
      </w:pPr>
      <w:r w:rsidDel="00000000" w:rsidR="00000000" w:rsidRPr="00000000">
        <w:rPr>
          <w:rtl w:val="0"/>
        </w:rPr>
        <w:t xml:space="preserve">9.6.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000000" w:rsidDel="00000000" w:rsidP="00000000" w:rsidRDefault="00000000" w:rsidRPr="00000000" w14:paraId="000000F6">
      <w:pPr>
        <w:ind w:left="2" w:hanging="2"/>
        <w:jc w:val="both"/>
        <w:rPr/>
      </w:pPr>
      <w:r w:rsidDel="00000000" w:rsidR="00000000" w:rsidRPr="00000000">
        <w:rPr>
          <w:rtl w:val="0"/>
        </w:rPr>
        <w:t xml:space="preserve">9.7. O recebimento provisório ou definitivo não excluirá a responsabilidade civil pela solidez e pela segurança do serviço nem a responsabilidade ético-profissional pela perfeita execução do contrato. </w:t>
      </w:r>
    </w:p>
    <w:p w:rsidR="00000000" w:rsidDel="00000000" w:rsidP="00000000" w:rsidRDefault="00000000" w:rsidRPr="00000000" w14:paraId="000000F7">
      <w:pPr>
        <w:ind w:left="2" w:hanging="2"/>
        <w:jc w:val="both"/>
        <w:rPr/>
      </w:pPr>
      <w:r w:rsidDel="00000000" w:rsidR="00000000" w:rsidRPr="00000000">
        <w:rPr>
          <w:rtl w:val="0"/>
        </w:rPr>
      </w:r>
    </w:p>
    <w:p w:rsidR="00000000" w:rsidDel="00000000" w:rsidP="00000000" w:rsidRDefault="00000000" w:rsidRPr="00000000" w14:paraId="000000F8">
      <w:pPr>
        <w:ind w:left="2" w:hanging="2"/>
        <w:jc w:val="both"/>
        <w:rPr/>
      </w:pPr>
      <w:r w:rsidDel="00000000" w:rsidR="00000000" w:rsidRPr="00000000">
        <w:rPr>
          <w:b w:val="1"/>
          <w:bCs w:val="1"/>
          <w:rtl w:val="0"/>
        </w:rPr>
        <w:t xml:space="preserve">Liquidação</w:t>
      </w:r>
      <w:r w:rsidDel="00000000" w:rsidR="00000000" w:rsidRPr="00000000">
        <w:rPr>
          <w:rtl w:val="0"/>
        </w:rPr>
        <w:t xml:space="preserve">.</w:t>
      </w:r>
    </w:p>
    <w:p w:rsidR="00000000" w:rsidDel="00000000" w:rsidP="00000000" w:rsidRDefault="00000000" w:rsidRPr="00000000" w14:paraId="000000F9">
      <w:pPr>
        <w:ind w:left="2" w:hanging="2"/>
        <w:jc w:val="both"/>
        <w:rPr/>
      </w:pPr>
      <w:r w:rsidDel="00000000" w:rsidR="00000000" w:rsidRPr="00000000">
        <w:rPr>
          <w:rtl w:val="0"/>
        </w:rPr>
        <w:t xml:space="preserve">9.8. Recebida a Nota Fiscal ou documento de cobrança equivalente, correrá o prazo de dez dias úteis para fins de liquidação, na forma desta seção, prorrogáveis por igual período, conforme a legislação aplicável.</w:t>
      </w:r>
    </w:p>
    <w:p w:rsidR="00000000" w:rsidDel="00000000" w:rsidP="00000000" w:rsidRDefault="00000000" w:rsidRPr="00000000" w14:paraId="000000FA">
      <w:pPr>
        <w:ind w:left="2" w:hanging="2"/>
        <w:jc w:val="both"/>
        <w:rPr/>
      </w:pPr>
      <w:r w:rsidDel="00000000" w:rsidR="00000000" w:rsidRPr="00000000">
        <w:rPr>
          <w:rtl w:val="0"/>
        </w:rPr>
        <w:t xml:space="preserve">9.8.1. O prazo de que trata o item anterior será reduzido à metade, mantendo-se a possibilidade de prorrogação, no caso de contratações decorrentes de despesas cujos valores não ultrapassem o limite de que trata o inciso II do art. 160 do Decreto Municipal nº 3537, de 09 de maio de 2023.</w:t>
      </w:r>
    </w:p>
    <w:p w:rsidR="00000000" w:rsidDel="00000000" w:rsidP="00000000" w:rsidRDefault="00000000" w:rsidRPr="00000000" w14:paraId="000000FB">
      <w:pPr>
        <w:ind w:left="2" w:hanging="2"/>
        <w:jc w:val="both"/>
        <w:rPr/>
      </w:pPr>
      <w:r w:rsidDel="00000000" w:rsidR="00000000" w:rsidRPr="00000000">
        <w:rPr>
          <w:rtl w:val="0"/>
        </w:rPr>
        <w:t xml:space="preserve">9.9. Para fins de liquidação, o setor competente deverá verificar se a nota fiscal ou instrumento de cobrança equivalente apresentado expressa os elementos necessários e essenciais do documento, tais como:</w:t>
      </w:r>
    </w:p>
    <w:p w:rsidR="00000000" w:rsidDel="00000000" w:rsidP="00000000" w:rsidRDefault="00000000" w:rsidRPr="00000000" w14:paraId="000000FC">
      <w:pPr>
        <w:ind w:left="2" w:hanging="2"/>
        <w:jc w:val="both"/>
        <w:rPr/>
      </w:pPr>
      <w:r w:rsidDel="00000000" w:rsidR="00000000" w:rsidRPr="00000000">
        <w:rPr>
          <w:rtl w:val="0"/>
        </w:rPr>
        <w:t xml:space="preserve">a) o prazo de validade; </w:t>
      </w:r>
    </w:p>
    <w:p w:rsidR="00000000" w:rsidDel="00000000" w:rsidP="00000000" w:rsidRDefault="00000000" w:rsidRPr="00000000" w14:paraId="000000FD">
      <w:pPr>
        <w:ind w:left="2" w:hanging="2"/>
        <w:jc w:val="both"/>
        <w:rPr/>
      </w:pPr>
      <w:r w:rsidDel="00000000" w:rsidR="00000000" w:rsidRPr="00000000">
        <w:rPr>
          <w:rtl w:val="0"/>
        </w:rPr>
        <w:t xml:space="preserve">b) a data da emissão; </w:t>
      </w:r>
    </w:p>
    <w:p w:rsidR="00000000" w:rsidDel="00000000" w:rsidP="00000000" w:rsidRDefault="00000000" w:rsidRPr="00000000" w14:paraId="000000FE">
      <w:pPr>
        <w:ind w:left="2" w:hanging="2"/>
        <w:jc w:val="both"/>
        <w:rPr/>
      </w:pPr>
      <w:r w:rsidDel="00000000" w:rsidR="00000000" w:rsidRPr="00000000">
        <w:rPr>
          <w:rtl w:val="0"/>
        </w:rPr>
        <w:t xml:space="preserve">c) os dados do contrato e do órgão contratante; </w:t>
      </w:r>
    </w:p>
    <w:p w:rsidR="00000000" w:rsidDel="00000000" w:rsidP="00000000" w:rsidRDefault="00000000" w:rsidRPr="00000000" w14:paraId="000000FF">
      <w:pPr>
        <w:ind w:left="2" w:hanging="2"/>
        <w:jc w:val="both"/>
        <w:rPr/>
      </w:pPr>
      <w:r w:rsidDel="00000000" w:rsidR="00000000" w:rsidRPr="00000000">
        <w:rPr>
          <w:rtl w:val="0"/>
        </w:rPr>
        <w:t xml:space="preserve">d) período respectivo de execução do contrato; </w:t>
      </w:r>
    </w:p>
    <w:p w:rsidR="00000000" w:rsidDel="00000000" w:rsidP="00000000" w:rsidRDefault="00000000" w:rsidRPr="00000000" w14:paraId="00000100">
      <w:pPr>
        <w:ind w:left="2" w:hanging="2"/>
        <w:jc w:val="both"/>
        <w:rPr/>
      </w:pPr>
      <w:r w:rsidDel="00000000" w:rsidR="00000000" w:rsidRPr="00000000">
        <w:rPr>
          <w:rtl w:val="0"/>
        </w:rPr>
        <w:t xml:space="preserve">e) o valor a pagar; e </w:t>
      </w:r>
    </w:p>
    <w:p w:rsidR="00000000" w:rsidDel="00000000" w:rsidP="00000000" w:rsidRDefault="00000000" w:rsidRPr="00000000" w14:paraId="00000101">
      <w:pPr>
        <w:ind w:left="2" w:hanging="2"/>
        <w:jc w:val="both"/>
        <w:rPr/>
      </w:pPr>
      <w:r w:rsidDel="00000000" w:rsidR="00000000" w:rsidRPr="00000000">
        <w:rPr>
          <w:rtl w:val="0"/>
        </w:rPr>
        <w:t xml:space="preserve">f) eventual destaque do valor de retenções tributárias cabíveis. </w:t>
      </w:r>
    </w:p>
    <w:p w:rsidR="00000000" w:rsidDel="00000000" w:rsidP="00000000" w:rsidRDefault="00000000" w:rsidRPr="00000000" w14:paraId="00000102">
      <w:pPr>
        <w:ind w:left="2" w:hanging="2"/>
        <w:jc w:val="both"/>
        <w:rPr/>
      </w:pPr>
      <w:r w:rsidDel="00000000" w:rsidR="00000000" w:rsidRPr="00000000">
        <w:rPr>
          <w:rtl w:val="0"/>
        </w:rPr>
        <w:t xml:space="preserve">9.10.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000000" w:rsidDel="00000000" w:rsidP="00000000" w:rsidRDefault="00000000" w:rsidRPr="00000000" w14:paraId="00000103">
      <w:pPr>
        <w:ind w:left="2" w:hanging="2"/>
        <w:jc w:val="both"/>
        <w:rPr/>
      </w:pPr>
      <w:r w:rsidDel="00000000" w:rsidR="00000000" w:rsidRPr="00000000">
        <w:rPr>
          <w:rtl w:val="0"/>
        </w:rPr>
        <w:t xml:space="preserve">9.11.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rsidR="00000000" w:rsidDel="00000000" w:rsidP="00000000" w:rsidRDefault="00000000" w:rsidRPr="00000000" w14:paraId="00000104">
      <w:pPr>
        <w:ind w:left="2" w:hanging="2"/>
        <w:jc w:val="both"/>
        <w:rPr/>
      </w:pPr>
      <w:r w:rsidDel="00000000" w:rsidR="00000000" w:rsidRPr="00000000">
        <w:rPr>
          <w:rtl w:val="0"/>
        </w:rPr>
        <w:t xml:space="preserve">9.12. 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000000" w:rsidDel="00000000" w:rsidP="00000000" w:rsidRDefault="00000000" w:rsidRPr="00000000" w14:paraId="00000105">
      <w:pPr>
        <w:ind w:left="2" w:hanging="2"/>
        <w:jc w:val="both"/>
        <w:rPr/>
      </w:pPr>
      <w:r w:rsidDel="00000000" w:rsidR="00000000" w:rsidRPr="00000000">
        <w:rPr>
          <w:rtl w:val="0"/>
        </w:rPr>
        <w:t xml:space="preserve">9.13.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000000" w:rsidDel="00000000" w:rsidP="00000000" w:rsidRDefault="00000000" w:rsidRPr="00000000" w14:paraId="00000106">
      <w:pPr>
        <w:ind w:left="2" w:hanging="2"/>
        <w:jc w:val="both"/>
        <w:rPr/>
      </w:pPr>
      <w:r w:rsidDel="00000000" w:rsidR="00000000" w:rsidRPr="00000000">
        <w:rPr>
          <w:rtl w:val="0"/>
        </w:rPr>
        <w:t xml:space="preserve">9.14. Não havendo regularização ou sendo a defesa considerada improcedente, o contratante deverá</w:t>
      </w:r>
    </w:p>
    <w:p w:rsidR="00000000" w:rsidDel="00000000" w:rsidP="00000000" w:rsidRDefault="00000000" w:rsidRPr="00000000" w14:paraId="00000107">
      <w:pPr>
        <w:ind w:left="2" w:hanging="2"/>
        <w:jc w:val="both"/>
        <w:rPr/>
      </w:pPr>
      <w:r w:rsidDel="00000000" w:rsidR="00000000" w:rsidRPr="00000000">
        <w:rPr>
          <w:rtl w:val="0"/>
        </w:rPr>
        <w:t xml:space="preserve">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000000" w:rsidDel="00000000" w:rsidP="00000000" w:rsidRDefault="00000000" w:rsidRPr="00000000" w14:paraId="00000108">
      <w:pPr>
        <w:ind w:left="2" w:hanging="2"/>
        <w:jc w:val="both"/>
        <w:rPr/>
      </w:pPr>
      <w:r w:rsidDel="00000000" w:rsidR="00000000" w:rsidRPr="00000000">
        <w:rPr>
          <w:rtl w:val="0"/>
        </w:rPr>
        <w:t xml:space="preserve">9.15. Persistindo a irregularidade, o contratante deverá adotar as medidas necessárias à rescisão contratual nos autos do processo administrativo correspondente, assegurada ao contratado a ampla defesa.</w:t>
      </w:r>
    </w:p>
    <w:p w:rsidR="00000000" w:rsidDel="00000000" w:rsidP="00000000" w:rsidRDefault="00000000" w:rsidRPr="00000000" w14:paraId="00000109">
      <w:pPr>
        <w:ind w:left="2" w:hanging="2"/>
        <w:jc w:val="both"/>
        <w:rPr/>
      </w:pPr>
      <w:r w:rsidDel="00000000" w:rsidR="00000000" w:rsidRPr="00000000">
        <w:rPr>
          <w:rtl w:val="0"/>
        </w:rPr>
        <w:t xml:space="preserve">9.16. Havendo a efetiva execução do objeto, os pagamentos serão realizados normalmente, até que se decida pela rescisão do contrato, caso o contratado não regularize sua situação junto ao SICAF.</w:t>
      </w:r>
    </w:p>
    <w:p w:rsidR="00000000" w:rsidDel="00000000" w:rsidP="00000000" w:rsidRDefault="00000000" w:rsidRPr="00000000" w14:paraId="0000010A">
      <w:pPr>
        <w:ind w:left="2" w:hanging="2"/>
        <w:jc w:val="both"/>
        <w:rPr/>
      </w:pPr>
      <w:r w:rsidDel="00000000" w:rsidR="00000000" w:rsidRPr="00000000">
        <w:rPr>
          <w:rtl w:val="0"/>
        </w:rPr>
      </w:r>
    </w:p>
    <w:p w:rsidR="00000000" w:rsidDel="00000000" w:rsidP="00000000" w:rsidRDefault="00000000" w:rsidRPr="00000000" w14:paraId="0000010B">
      <w:pPr>
        <w:ind w:left="2" w:hanging="2"/>
        <w:jc w:val="both"/>
        <w:rPr>
          <w:b w:val="1"/>
          <w:bCs w:val="1"/>
        </w:rPr>
      </w:pPr>
      <w:r w:rsidDel="00000000" w:rsidR="00000000" w:rsidRPr="00000000">
        <w:rPr>
          <w:b w:val="1"/>
          <w:bCs w:val="1"/>
          <w:rtl w:val="0"/>
        </w:rPr>
        <w:t xml:space="preserve">Prazo de pagamento</w:t>
      </w:r>
    </w:p>
    <w:p w:rsidR="00000000" w:rsidDel="00000000" w:rsidP="00000000" w:rsidRDefault="00000000" w:rsidRPr="00000000" w14:paraId="0000010C">
      <w:pPr>
        <w:ind w:left="2" w:hanging="2"/>
        <w:jc w:val="both"/>
        <w:rPr/>
      </w:pPr>
      <w:r w:rsidDel="00000000" w:rsidR="00000000" w:rsidRPr="00000000">
        <w:rPr>
          <w:rtl w:val="0"/>
        </w:rPr>
        <w:t xml:space="preserve">9.17.  O pagamento será efetuado no prazo de 30 (trinta) dias contados a partir do atesto da Nota Fiscal, conforme o art. 35, parágrafo único do Decreto nº 3.537, de 09 de maio de 2023.</w:t>
      </w:r>
    </w:p>
    <w:p w:rsidR="00000000" w:rsidDel="00000000" w:rsidP="00000000" w:rsidRDefault="00000000" w:rsidRPr="00000000" w14:paraId="0000010D">
      <w:pPr>
        <w:ind w:left="2" w:hanging="2"/>
        <w:jc w:val="both"/>
        <w:rPr/>
      </w:pPr>
      <w:r w:rsidDel="00000000" w:rsidR="00000000" w:rsidRPr="00000000">
        <w:rPr>
          <w:rtl w:val="0"/>
        </w:rPr>
        <w:t xml:space="preserve">9.18. No caso de atraso pelo Contratante, os valores devidos ao contratado serão atualizados monetariamente entre o termo final do prazo de pagamento até a data de sua efetiva realização, mediante aplicação do índice INPC de correção monetária.</w:t>
      </w:r>
    </w:p>
    <w:p w:rsidR="00000000" w:rsidDel="00000000" w:rsidP="00000000" w:rsidRDefault="00000000" w:rsidRPr="00000000" w14:paraId="0000010E">
      <w:pPr>
        <w:ind w:left="2" w:hanging="2"/>
        <w:jc w:val="both"/>
        <w:rPr/>
      </w:pPr>
      <w:r w:rsidDel="00000000" w:rsidR="00000000" w:rsidRPr="00000000">
        <w:rPr>
          <w:rtl w:val="0"/>
        </w:rPr>
      </w:r>
    </w:p>
    <w:p w:rsidR="00000000" w:rsidDel="00000000" w:rsidP="00000000" w:rsidRDefault="00000000" w:rsidRPr="00000000" w14:paraId="0000010F">
      <w:pPr>
        <w:ind w:left="2" w:hanging="2"/>
        <w:jc w:val="both"/>
        <w:rPr/>
      </w:pPr>
      <w:r w:rsidDel="00000000" w:rsidR="00000000" w:rsidRPr="00000000">
        <w:rPr>
          <w:b w:val="1"/>
          <w:bCs w:val="1"/>
          <w:rtl w:val="0"/>
        </w:rPr>
        <w:t xml:space="preserve">Forma de pagamento</w:t>
      </w:r>
      <w:r w:rsidDel="00000000" w:rsidR="00000000" w:rsidRPr="00000000">
        <w:rPr>
          <w:rtl w:val="0"/>
        </w:rPr>
      </w:r>
    </w:p>
    <w:p w:rsidR="00000000" w:rsidDel="00000000" w:rsidP="00000000" w:rsidRDefault="00000000" w:rsidRPr="00000000" w14:paraId="00000110">
      <w:pPr>
        <w:ind w:left="2" w:hanging="2"/>
        <w:jc w:val="both"/>
        <w:rPr/>
      </w:pPr>
      <w:r w:rsidDel="00000000" w:rsidR="00000000" w:rsidRPr="00000000">
        <w:rPr>
          <w:rtl w:val="0"/>
        </w:rPr>
        <w:t xml:space="preserve">9.19.  O pagamento será realizado por meio de ordem bancária, para crédito em banco, agência e conta corrente indicados pelo contratado. </w:t>
      </w:r>
    </w:p>
    <w:p w:rsidR="00000000" w:rsidDel="00000000" w:rsidP="00000000" w:rsidRDefault="00000000" w:rsidRPr="00000000" w14:paraId="00000111">
      <w:pPr>
        <w:ind w:left="2" w:hanging="2"/>
        <w:jc w:val="both"/>
        <w:rPr/>
      </w:pPr>
      <w:r w:rsidDel="00000000" w:rsidR="00000000" w:rsidRPr="00000000">
        <w:rPr>
          <w:rtl w:val="0"/>
        </w:rPr>
        <w:t xml:space="preserve">9.20.  Será considerada data do pagamento o dia em que constar como emitida a ordem bancária para pagamento.</w:t>
      </w:r>
    </w:p>
    <w:p w:rsidR="00000000" w:rsidDel="00000000" w:rsidP="00000000" w:rsidRDefault="00000000" w:rsidRPr="00000000" w14:paraId="00000112">
      <w:pPr>
        <w:ind w:left="2" w:hanging="2"/>
        <w:jc w:val="both"/>
        <w:rPr/>
      </w:pPr>
      <w:r w:rsidDel="00000000" w:rsidR="00000000" w:rsidRPr="00000000">
        <w:rPr>
          <w:rtl w:val="0"/>
        </w:rPr>
        <w:t xml:space="preserve">9.21. Quando do pagamento, será efetuada a retenção tributária prevista na legislação aplicável.</w:t>
      </w:r>
    </w:p>
    <w:p w:rsidR="00000000" w:rsidDel="00000000" w:rsidP="00000000" w:rsidRDefault="00000000" w:rsidRPr="00000000" w14:paraId="00000113">
      <w:pPr>
        <w:ind w:left="2" w:hanging="2"/>
        <w:jc w:val="both"/>
        <w:rPr/>
      </w:pPr>
      <w:r w:rsidDel="00000000" w:rsidR="00000000" w:rsidRPr="00000000">
        <w:rPr>
          <w:rtl w:val="0"/>
        </w:rPr>
        <w:t xml:space="preserve">9.21.1.  Independentemente do percentual de tributo inserido na planilha, quando houver, serão retidos na fonte, quando da realização do pagamento, os percentuais estabelecidos na legislação vigente. </w:t>
      </w:r>
    </w:p>
    <w:p w:rsidR="00000000" w:rsidDel="00000000" w:rsidP="00000000" w:rsidRDefault="00000000" w:rsidRPr="00000000" w14:paraId="00000114">
      <w:pPr>
        <w:ind w:left="2" w:hanging="2"/>
        <w:jc w:val="both"/>
        <w:rPr/>
      </w:pPr>
      <w:r w:rsidDel="00000000" w:rsidR="00000000" w:rsidRPr="00000000">
        <w:rPr>
          <w:rtl w:val="0"/>
        </w:rPr>
        <w:t xml:space="preserve">9.22.  O contratado regularmente optante pelo Simples Nacional, nos termos da Lei Complementar n°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00000" w:rsidDel="00000000" w:rsidP="00000000" w:rsidRDefault="00000000" w:rsidRPr="00000000" w14:paraId="00000115">
      <w:pPr>
        <w:ind w:left="2" w:hanging="2"/>
        <w:jc w:val="both"/>
        <w:rPr/>
      </w:pPr>
      <w:r w:rsidDel="00000000" w:rsidR="00000000" w:rsidRPr="00000000">
        <w:rPr>
          <w:rtl w:val="0"/>
        </w:rPr>
      </w:r>
    </w:p>
    <w:p w:rsidR="00000000" w:rsidDel="00000000" w:rsidP="00000000" w:rsidRDefault="00000000" w:rsidRPr="00000000" w14:paraId="00000116">
      <w:pPr>
        <w:ind w:left="2" w:hanging="2"/>
        <w:jc w:val="both"/>
        <w:rPr>
          <w:b w:val="1"/>
          <w:bCs w:val="1"/>
        </w:rPr>
      </w:pPr>
      <w:r w:rsidDel="00000000" w:rsidR="00000000" w:rsidRPr="00000000">
        <w:rPr>
          <w:b w:val="1"/>
          <w:bCs w:val="1"/>
          <w:rtl w:val="0"/>
        </w:rPr>
        <w:t xml:space="preserve">Antecipação de pagamento </w:t>
      </w:r>
    </w:p>
    <w:p w:rsidR="00000000" w:rsidDel="00000000" w:rsidP="00000000" w:rsidRDefault="00000000" w:rsidRPr="00000000" w14:paraId="00000117">
      <w:pPr>
        <w:ind w:left="2" w:hanging="2"/>
        <w:jc w:val="both"/>
        <w:rPr/>
      </w:pPr>
      <w:r w:rsidDel="00000000" w:rsidR="00000000" w:rsidRPr="00000000">
        <w:rPr>
          <w:rtl w:val="0"/>
        </w:rPr>
        <w:t xml:space="preserve">9.23. A presente contratação não permite a antecipação de pagamento.</w:t>
      </w:r>
    </w:p>
    <w:p w:rsidR="00000000" w:rsidDel="00000000" w:rsidP="00000000" w:rsidRDefault="00000000" w:rsidRPr="00000000" w14:paraId="00000118">
      <w:pPr>
        <w:ind w:left="2" w:hanging="2"/>
        <w:jc w:val="both"/>
        <w:rPr>
          <w:b w:val="1"/>
          <w:bCs w:val="1"/>
          <w:i w:val="1"/>
          <w:iCs w:val="1"/>
        </w:rPr>
      </w:pPr>
      <w:r w:rsidDel="00000000" w:rsidR="00000000" w:rsidRPr="00000000">
        <w:rPr>
          <w:rtl w:val="0"/>
        </w:rPr>
      </w:r>
    </w:p>
    <w:p w:rsidR="00000000" w:rsidDel="00000000" w:rsidP="00000000" w:rsidRDefault="00000000" w:rsidRPr="00000000" w14:paraId="00000119">
      <w:pPr>
        <w:ind w:left="2" w:hanging="2"/>
        <w:jc w:val="both"/>
        <w:rPr>
          <w:b w:val="1"/>
          <w:bCs w:val="1"/>
        </w:rPr>
      </w:pPr>
      <w:r w:rsidDel="00000000" w:rsidR="00000000" w:rsidRPr="00000000">
        <w:rPr>
          <w:b w:val="1"/>
          <w:bCs w:val="1"/>
          <w:rtl w:val="0"/>
        </w:rPr>
        <w:t xml:space="preserve">Cessão de crédito </w:t>
      </w:r>
    </w:p>
    <w:p w:rsidR="00000000" w:rsidDel="00000000" w:rsidP="00000000" w:rsidRDefault="00000000" w:rsidRPr="00000000" w14:paraId="0000011A">
      <w:pPr>
        <w:ind w:left="2" w:hanging="2"/>
        <w:jc w:val="both"/>
        <w:rPr/>
      </w:pPr>
      <w:r w:rsidDel="00000000" w:rsidR="00000000" w:rsidRPr="00000000">
        <w:rPr>
          <w:rtl w:val="0"/>
        </w:rPr>
        <w:t xml:space="preserve">9.24. Não é admitida a cessão fiduciária de direitos creditícios com instituição financeira.</w:t>
      </w:r>
    </w:p>
    <w:p w:rsidR="00000000" w:rsidDel="00000000" w:rsidP="00000000" w:rsidRDefault="00000000" w:rsidRPr="00000000" w14:paraId="0000011B">
      <w:pPr>
        <w:ind w:left="2" w:hanging="2"/>
        <w:jc w:val="both"/>
        <w:rPr/>
      </w:pPr>
      <w:r w:rsidDel="00000000" w:rsidR="00000000" w:rsidRPr="00000000">
        <w:rPr>
          <w:rtl w:val="0"/>
        </w:rPr>
      </w:r>
    </w:p>
    <w:p w:rsidR="00000000" w:rsidDel="00000000" w:rsidP="00000000" w:rsidRDefault="00000000" w:rsidRPr="00000000" w14:paraId="0000011C">
      <w:pPr>
        <w:ind w:left="2" w:hanging="2"/>
        <w:jc w:val="both"/>
        <w:rPr>
          <w:b w:val="1"/>
          <w:bCs w:val="1"/>
        </w:rPr>
      </w:pPr>
      <w:r w:rsidDel="00000000" w:rsidR="00000000" w:rsidRPr="00000000">
        <w:rPr>
          <w:b w:val="1"/>
          <w:bCs w:val="1"/>
          <w:rtl w:val="0"/>
        </w:rPr>
        <w:t xml:space="preserve">Qualificação Técnico-Operacional:</w:t>
      </w:r>
    </w:p>
    <w:p w:rsidR="00000000" w:rsidDel="00000000" w:rsidP="00000000" w:rsidRDefault="00000000" w:rsidRPr="00000000" w14:paraId="0000011D">
      <w:pPr>
        <w:ind w:left="2" w:hanging="2"/>
        <w:jc w:val="both"/>
        <w:rPr/>
      </w:pPr>
      <w:r w:rsidDel="00000000" w:rsidR="00000000" w:rsidRPr="00000000">
        <w:rPr>
          <w:rtl w:val="0"/>
        </w:rPr>
        <w:t xml:space="preserve">9.25. Nos termos do artigo 67, §2º da Lei nº 14.133/2021, para comprovar a capacidade técnico-operacional, a licitante deverá apresentar atestado(s) de capacidade técnica emitido(s) por pessoa jurídica de direito público ou privado, que demonstre(m) o fornecimento de produtos compatíveis em características e quantidades com o objeto desta contratação. O atestado deverá comprovar pelo menos o quantitativo de 50% do objeto.</w:t>
      </w:r>
    </w:p>
    <w:p w:rsidR="00000000" w:rsidDel="00000000" w:rsidP="00000000" w:rsidRDefault="00000000" w:rsidRPr="00000000" w14:paraId="0000011E">
      <w:pPr>
        <w:ind w:left="2" w:hanging="2"/>
        <w:jc w:val="both"/>
        <w:rPr/>
      </w:pPr>
      <w:r w:rsidDel="00000000" w:rsidR="00000000" w:rsidRPr="00000000">
        <w:rPr>
          <w:rtl w:val="0"/>
        </w:rPr>
        <w:t xml:space="preserve">DOCUMENTOS DE QUALIFICAÇÃO TÉCNICA:</w:t>
      </w:r>
    </w:p>
    <w:p w:rsidR="00000000" w:rsidDel="00000000" w:rsidP="00000000" w:rsidRDefault="00000000" w:rsidRPr="00000000" w14:paraId="0000011F">
      <w:pPr>
        <w:ind w:left="2" w:hanging="2"/>
        <w:jc w:val="both"/>
        <w:rPr/>
      </w:pPr>
      <w:r w:rsidDel="00000000" w:rsidR="00000000" w:rsidRPr="00000000">
        <w:rPr>
          <w:rtl w:val="0"/>
        </w:rPr>
        <w:t xml:space="preserve">9.26. (um) ou mais atestados de capacidade técnica fornecido(s) por pessoa jurídica de direito público ou privado, que comprove(m) a aptidão do licitante para desempenho de atividade pertinente e compatível em características, quantidades e prazos com o(s) item (ns) arrematado(s).</w:t>
      </w:r>
    </w:p>
    <w:p w:rsidR="00000000" w:rsidDel="00000000" w:rsidP="00000000" w:rsidRDefault="00000000" w:rsidRPr="00000000" w14:paraId="00000120">
      <w:pPr>
        <w:ind w:left="2" w:hanging="2"/>
        <w:jc w:val="both"/>
        <w:rPr/>
      </w:pPr>
      <w:r w:rsidDel="00000000" w:rsidR="00000000" w:rsidRPr="00000000">
        <w:rPr>
          <w:rtl w:val="0"/>
        </w:rPr>
        <w:t xml:space="preserve">9.27. Quando o atestado de capacidade de técnica for emitido por pessoa jurídica de direito privado, deverá ser apresentado, com firma reconhecida em cartório (acórdão 1847/2019 – TCE- PR). </w:t>
      </w:r>
    </w:p>
    <w:p w:rsidR="00000000" w:rsidDel="00000000" w:rsidP="00000000" w:rsidRDefault="00000000" w:rsidRPr="00000000" w14:paraId="00000121">
      <w:pPr>
        <w:ind w:left="2" w:hanging="2"/>
        <w:jc w:val="both"/>
        <w:rPr/>
      </w:pPr>
      <w:r w:rsidDel="00000000" w:rsidR="00000000" w:rsidRPr="00000000">
        <w:rPr>
          <w:rtl w:val="0"/>
        </w:rPr>
        <w:t xml:space="preserve">OBS.: Valerá, para fins de garantia de veracidade do atestado, documento firmado mediante assinatura digital, cabendo a admi</w:t>
      </w:r>
    </w:p>
    <w:p w:rsidR="00000000" w:rsidDel="00000000" w:rsidP="00000000" w:rsidRDefault="00000000" w:rsidRPr="00000000" w14:paraId="00000122">
      <w:pPr>
        <w:ind w:left="2" w:hanging="2"/>
        <w:jc w:val="both"/>
        <w:rPr/>
      </w:pPr>
      <w:r w:rsidDel="00000000" w:rsidR="00000000" w:rsidRPr="00000000">
        <w:rPr>
          <w:rtl w:val="0"/>
        </w:rPr>
      </w:r>
    </w:p>
    <w:p w:rsidR="00000000" w:rsidDel="00000000" w:rsidP="00000000" w:rsidRDefault="00000000" w:rsidRPr="00000000" w14:paraId="00000123">
      <w:pPr>
        <w:ind w:left="2" w:hanging="2"/>
        <w:jc w:val="both"/>
        <w:rPr>
          <w:b w:val="1"/>
          <w:bCs w:val="1"/>
          <w:i w:val="1"/>
          <w:iCs w:val="1"/>
          <w:sz w:val="22"/>
          <w:szCs w:val="22"/>
        </w:rPr>
      </w:pPr>
      <w:r w:rsidDel="00000000" w:rsidR="00000000" w:rsidRPr="00000000">
        <w:rPr>
          <w:rtl w:val="0"/>
        </w:rPr>
      </w:r>
    </w:p>
    <w:p w:rsidR="00000000" w:rsidDel="00000000" w:rsidP="00000000" w:rsidRDefault="00000000" w:rsidRPr="00000000" w14:paraId="00000124">
      <w:pPr>
        <w:shd w:fill="d9d9d9" w:val="clear"/>
        <w:ind w:left="2" w:right="67" w:hanging="2"/>
        <w:jc w:val="both"/>
        <w:rPr>
          <w:b w:val="1"/>
          <w:bCs w:val="1"/>
        </w:rPr>
      </w:pPr>
      <w:r w:rsidDel="00000000" w:rsidR="00000000" w:rsidRPr="00000000">
        <w:rPr>
          <w:b w:val="1"/>
          <w:bCs w:val="1"/>
          <w:rtl w:val="0"/>
        </w:rPr>
        <w:t xml:space="preserve">10. FORMA E CRITÉRIOS DE SELEÇÃO DO FORNECEDOR</w:t>
      </w:r>
    </w:p>
    <w:p w:rsidR="00000000" w:rsidDel="00000000" w:rsidP="00000000" w:rsidRDefault="00000000" w:rsidRPr="00000000" w14:paraId="00000125">
      <w:pPr>
        <w:ind w:left="2" w:hanging="2"/>
        <w:jc w:val="both"/>
        <w:rPr>
          <w:b w:val="1"/>
          <w:bCs w:val="1"/>
        </w:rPr>
      </w:pPr>
      <w:r w:rsidDel="00000000" w:rsidR="00000000" w:rsidRPr="00000000">
        <w:rPr>
          <w:b w:val="1"/>
          <w:bCs w:val="1"/>
          <w:rtl w:val="0"/>
        </w:rPr>
        <w:t xml:space="preserve">Forma de seleção e critério de julgamento da proposta</w:t>
      </w:r>
    </w:p>
    <w:p w:rsidR="00000000" w:rsidDel="00000000" w:rsidP="00000000" w:rsidRDefault="00000000" w:rsidRPr="00000000" w14:paraId="00000126">
      <w:pPr>
        <w:ind w:left="2" w:hanging="2"/>
        <w:jc w:val="both"/>
        <w:rPr/>
      </w:pPr>
      <w:r w:rsidDel="00000000" w:rsidR="00000000" w:rsidRPr="00000000">
        <w:rPr>
          <w:rtl w:val="0"/>
        </w:rPr>
        <w:t xml:space="preserve">10.1. O fornecedor será selecionado por meio da realização de procedimento de </w:t>
      </w:r>
      <w:r w:rsidDel="00000000" w:rsidR="00000000" w:rsidRPr="00000000">
        <w:rPr>
          <w:b w:val="1"/>
          <w:bCs w:val="1"/>
          <w:rtl w:val="0"/>
        </w:rPr>
        <w:t xml:space="preserve">DISPENSA DE LICITAÇÃO,</w:t>
      </w:r>
      <w:r w:rsidDel="00000000" w:rsidR="00000000" w:rsidRPr="00000000">
        <w:rPr>
          <w:rtl w:val="0"/>
        </w:rPr>
        <w:t xml:space="preserve"> com fundamentação no Artigo 75, o inciso II, da Lei nº 14.133/2021.</w:t>
      </w:r>
    </w:p>
    <w:p w:rsidR="00000000" w:rsidDel="00000000" w:rsidP="00000000" w:rsidRDefault="00000000" w:rsidRPr="00000000" w14:paraId="00000127">
      <w:pPr>
        <w:ind w:left="2" w:hanging="2"/>
        <w:jc w:val="both"/>
        <w:rPr>
          <w:b w:val="1"/>
          <w:bCs w:val="1"/>
        </w:rPr>
      </w:pPr>
      <w:r w:rsidDel="00000000" w:rsidR="00000000" w:rsidRPr="00000000">
        <w:rPr>
          <w:rtl w:val="0"/>
        </w:rPr>
      </w:r>
    </w:p>
    <w:p w:rsidR="00000000" w:rsidDel="00000000" w:rsidP="00000000" w:rsidRDefault="00000000" w:rsidRPr="00000000" w14:paraId="00000128">
      <w:pPr>
        <w:ind w:left="2" w:hanging="2"/>
        <w:jc w:val="both"/>
        <w:rPr>
          <w:b w:val="1"/>
          <w:bCs w:val="1"/>
        </w:rPr>
      </w:pPr>
      <w:r w:rsidDel="00000000" w:rsidR="00000000" w:rsidRPr="00000000">
        <w:rPr>
          <w:b w:val="1"/>
          <w:bCs w:val="1"/>
          <w:rtl w:val="0"/>
        </w:rPr>
        <w:t xml:space="preserve">Exigências de habilitação</w:t>
      </w:r>
    </w:p>
    <w:p w:rsidR="00000000" w:rsidDel="00000000" w:rsidP="00000000" w:rsidRDefault="00000000" w:rsidRPr="00000000" w14:paraId="00000129">
      <w:pPr>
        <w:ind w:left="2" w:hanging="2"/>
        <w:jc w:val="both"/>
        <w:rPr/>
      </w:pPr>
      <w:r w:rsidDel="00000000" w:rsidR="00000000" w:rsidRPr="00000000">
        <w:rPr>
          <w:rtl w:val="0"/>
        </w:rPr>
        <w:t xml:space="preserve">10.2. Para fins de habilitação, deverá o licitante comprovar os seguintes requisitos:</w:t>
      </w:r>
    </w:p>
    <w:p w:rsidR="00000000" w:rsidDel="00000000" w:rsidP="00000000" w:rsidRDefault="00000000" w:rsidRPr="00000000" w14:paraId="0000012A">
      <w:pPr>
        <w:ind w:left="2" w:hanging="2"/>
        <w:jc w:val="both"/>
        <w:rPr>
          <w:b w:val="1"/>
          <w:bCs w:val="1"/>
        </w:rPr>
      </w:pPr>
      <w:r w:rsidDel="00000000" w:rsidR="00000000" w:rsidRPr="00000000">
        <w:rPr>
          <w:b w:val="1"/>
          <w:bCs w:val="1"/>
          <w:rtl w:val="0"/>
        </w:rPr>
        <w:t xml:space="preserve">Habilitação jurídica</w:t>
      </w:r>
    </w:p>
    <w:p w:rsidR="00000000" w:rsidDel="00000000" w:rsidP="00000000" w:rsidRDefault="00000000" w:rsidRPr="00000000" w14:paraId="0000012B">
      <w:pPr>
        <w:ind w:left="2" w:hanging="2"/>
        <w:jc w:val="both"/>
        <w:rPr>
          <w:b w:val="1"/>
          <w:bCs w:val="1"/>
          <w:i w:val="1"/>
          <w:iCs w:val="1"/>
        </w:rPr>
      </w:pPr>
      <w:r w:rsidDel="00000000" w:rsidR="00000000" w:rsidRPr="00000000">
        <w:rPr>
          <w:b w:val="1"/>
          <w:bCs w:val="1"/>
          <w:i w:val="1"/>
          <w:iCs w:val="1"/>
          <w:rtl w:val="0"/>
        </w:rPr>
        <w:t xml:space="preserve">Observação: O item 10.3. foi excluído deste Termo de Referência, pois o mesmo não se aplica ao objeto contratado.</w:t>
      </w:r>
    </w:p>
    <w:p w:rsidR="00000000" w:rsidDel="00000000" w:rsidP="00000000" w:rsidRDefault="00000000" w:rsidRPr="00000000" w14:paraId="0000012C">
      <w:pPr>
        <w:ind w:left="2" w:hanging="2"/>
        <w:jc w:val="both"/>
        <w:rPr/>
      </w:pPr>
      <w:r w:rsidDel="00000000" w:rsidR="00000000" w:rsidRPr="00000000">
        <w:rPr>
          <w:rtl w:val="0"/>
        </w:rPr>
        <w:t xml:space="preserve">10.4. </w:t>
      </w:r>
      <w:r w:rsidDel="00000000" w:rsidR="00000000" w:rsidRPr="00000000">
        <w:rPr>
          <w:b w:val="1"/>
          <w:bCs w:val="1"/>
          <w:rtl w:val="0"/>
        </w:rPr>
        <w:t xml:space="preserve">Empresário individual:</w:t>
      </w:r>
      <w:r w:rsidDel="00000000" w:rsidR="00000000" w:rsidRPr="00000000">
        <w:rPr>
          <w:rtl w:val="0"/>
        </w:rPr>
        <w:t xml:space="preserve"> inscrição no Registro Público de Empresas Mercantis, a cargo da Junta Comercial da respectiva sede;</w:t>
      </w:r>
    </w:p>
    <w:p w:rsidR="00000000" w:rsidDel="00000000" w:rsidP="00000000" w:rsidRDefault="00000000" w:rsidRPr="00000000" w14:paraId="0000012D">
      <w:pPr>
        <w:ind w:left="2" w:hanging="2"/>
        <w:jc w:val="both"/>
        <w:rPr/>
      </w:pPr>
      <w:r w:rsidDel="00000000" w:rsidR="00000000" w:rsidRPr="00000000">
        <w:rPr>
          <w:rtl w:val="0"/>
        </w:rPr>
        <w:t xml:space="preserve">10.5. </w:t>
      </w:r>
      <w:r w:rsidDel="00000000" w:rsidR="00000000" w:rsidRPr="00000000">
        <w:rPr>
          <w:b w:val="1"/>
          <w:bCs w:val="1"/>
          <w:rtl w:val="0"/>
        </w:rPr>
        <w:t xml:space="preserve">Microempreendedor Individual - MEI: </w:t>
      </w:r>
      <w:r w:rsidDel="00000000" w:rsidR="00000000" w:rsidRPr="00000000">
        <w:rPr>
          <w:rtl w:val="0"/>
        </w:rPr>
        <w:t xml:space="preserve">Certificado da Condição de Microempreendedor Individual - CCMEI, cuja aceitação ficará condicionada à verificação da autenticidade no sítio </w:t>
      </w:r>
      <w:hyperlink r:id="rId9">
        <w:r w:rsidDel="00000000" w:rsidR="00000000" w:rsidRPr="00000000">
          <w:rPr>
            <w:color w:val="1155cc"/>
            <w:u w:val="single"/>
            <w:rtl w:val="0"/>
          </w:rPr>
          <w:t xml:space="preserve">https://www.gov.br/empresas-e-negocios/pt-br/empreendedor</w:t>
        </w:r>
      </w:hyperlink>
      <w:r w:rsidDel="00000000" w:rsidR="00000000" w:rsidRPr="00000000">
        <w:rPr>
          <w:rtl w:val="0"/>
        </w:rPr>
        <w:t xml:space="preserve">; </w:t>
      </w:r>
    </w:p>
    <w:p w:rsidR="00000000" w:rsidDel="00000000" w:rsidP="00000000" w:rsidRDefault="00000000" w:rsidRPr="00000000" w14:paraId="0000012E">
      <w:pPr>
        <w:ind w:left="2" w:hanging="2"/>
        <w:jc w:val="both"/>
        <w:rPr/>
      </w:pPr>
      <w:r w:rsidDel="00000000" w:rsidR="00000000" w:rsidRPr="00000000">
        <w:rPr>
          <w:rtl w:val="0"/>
        </w:rPr>
        <w:t xml:space="preserve">10.6. </w:t>
      </w:r>
      <w:r w:rsidDel="00000000" w:rsidR="00000000" w:rsidRPr="00000000">
        <w:rPr>
          <w:b w:val="1"/>
          <w:bCs w:val="1"/>
          <w:rtl w:val="0"/>
        </w:rPr>
        <w:t xml:space="preserve">Sociedade empresária, sociedade limitada unipessoal - SLU ou sociedade identificada como empresa individual de responsabilidade limitada - EIRELI:</w:t>
      </w:r>
      <w:r w:rsidDel="00000000" w:rsidR="00000000" w:rsidRPr="00000000">
        <w:rPr>
          <w:rtl w:val="0"/>
        </w:rPr>
        <w:t xml:space="preserve"> inscrição do ato constitutivo, estatuto ou contrato social no Registro Público de Empresas Mercantis, a cargo da Junta Comercial da respectiva sede, acompanhada de documento comprobatório de seus administradores; [MM42]</w:t>
      </w:r>
    </w:p>
    <w:p w:rsidR="00000000" w:rsidDel="00000000" w:rsidP="00000000" w:rsidRDefault="00000000" w:rsidRPr="00000000" w14:paraId="0000012F">
      <w:pPr>
        <w:ind w:left="2" w:hanging="2"/>
        <w:jc w:val="both"/>
        <w:rPr/>
      </w:pPr>
      <w:r w:rsidDel="00000000" w:rsidR="00000000" w:rsidRPr="00000000">
        <w:rPr>
          <w:rtl w:val="0"/>
        </w:rPr>
        <w:t xml:space="preserve">10.7. </w:t>
      </w:r>
      <w:r w:rsidDel="00000000" w:rsidR="00000000" w:rsidRPr="00000000">
        <w:rPr>
          <w:b w:val="1"/>
          <w:bCs w:val="1"/>
          <w:rtl w:val="0"/>
        </w:rPr>
        <w:t xml:space="preserve">Sociedade empresária estrangeira:</w:t>
      </w:r>
      <w:r w:rsidDel="00000000" w:rsidR="00000000" w:rsidRPr="00000000">
        <w:rPr>
          <w:rtl w:val="0"/>
        </w:rPr>
        <w:t xml:space="preserve"> portaria de autorização de funcionamento no Brasil, publicada no Diário Oficial da União e arquivada na Junta Comercial da unidade federativa onde se localiza a filial, agência, sucursal ou estabelecimento, a qual será considerada como sua sede, conforme a legislação aplicável.</w:t>
      </w:r>
    </w:p>
    <w:p w:rsidR="00000000" w:rsidDel="00000000" w:rsidP="00000000" w:rsidRDefault="00000000" w:rsidRPr="00000000" w14:paraId="00000130">
      <w:pPr>
        <w:ind w:left="2" w:hanging="2"/>
        <w:jc w:val="both"/>
        <w:rPr/>
      </w:pPr>
      <w:r w:rsidDel="00000000" w:rsidR="00000000" w:rsidRPr="00000000">
        <w:rPr>
          <w:rtl w:val="0"/>
        </w:rPr>
        <w:t xml:space="preserve">10.8. Sociedade simples: inscrição do ato constitutivo no Registro Civil de Pessoas Jurídicas do local de sua sede, acompanhada de documento comprobatório de seus administradores;</w:t>
      </w:r>
    </w:p>
    <w:p w:rsidR="00000000" w:rsidDel="00000000" w:rsidP="00000000" w:rsidRDefault="00000000" w:rsidRPr="00000000" w14:paraId="00000131">
      <w:pPr>
        <w:ind w:left="2" w:hanging="2"/>
        <w:jc w:val="both"/>
        <w:rPr/>
      </w:pPr>
      <w:r w:rsidDel="00000000" w:rsidR="00000000" w:rsidRPr="00000000">
        <w:rPr>
          <w:rtl w:val="0"/>
        </w:rPr>
        <w:t xml:space="preserve">10.9. </w:t>
      </w:r>
      <w:r w:rsidDel="00000000" w:rsidR="00000000" w:rsidRPr="00000000">
        <w:rPr>
          <w:b w:val="1"/>
          <w:bCs w:val="1"/>
          <w:rtl w:val="0"/>
        </w:rPr>
        <w:t xml:space="preserve">Filial, sucursal ou agência de sociedade simples ou empresária:</w:t>
      </w:r>
      <w:r w:rsidDel="00000000" w:rsidR="00000000" w:rsidRPr="00000000">
        <w:rPr>
          <w:rtl w:val="0"/>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00000" w:rsidDel="00000000" w:rsidP="00000000" w:rsidRDefault="00000000" w:rsidRPr="00000000" w14:paraId="00000132">
      <w:pPr>
        <w:ind w:left="2" w:hanging="2"/>
        <w:jc w:val="both"/>
        <w:rPr/>
      </w:pPr>
      <w:r w:rsidDel="00000000" w:rsidR="00000000" w:rsidRPr="00000000">
        <w:rPr>
          <w:rtl w:val="0"/>
        </w:rPr>
        <w:t xml:space="preserve">10.10. </w:t>
      </w:r>
      <w:r w:rsidDel="00000000" w:rsidR="00000000" w:rsidRPr="00000000">
        <w:rPr>
          <w:b w:val="1"/>
          <w:bCs w:val="1"/>
          <w:rtl w:val="0"/>
        </w:rPr>
        <w:t xml:space="preserve">Sociedade cooperativa:</w:t>
      </w:r>
      <w:r w:rsidDel="00000000" w:rsidR="00000000" w:rsidRPr="00000000">
        <w:rPr>
          <w:rtl w:val="0"/>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de 1971.</w:t>
      </w:r>
    </w:p>
    <w:p w:rsidR="00000000" w:rsidDel="00000000" w:rsidP="00000000" w:rsidRDefault="00000000" w:rsidRPr="00000000" w14:paraId="00000133">
      <w:pPr>
        <w:ind w:left="2" w:hanging="2"/>
        <w:jc w:val="both"/>
        <w:rPr/>
      </w:pPr>
      <w:r w:rsidDel="00000000" w:rsidR="00000000" w:rsidRPr="00000000">
        <w:rPr>
          <w:rtl w:val="0"/>
        </w:rPr>
        <w:t xml:space="preserve">10.10.1. No que se refere a cooperativa, deverá possuir ainda o objeto social compatível: Como regra geral, é possível a participação de cooperativas em licitações desde que o objeto social da cooperativa seja compatível com o objeto licitado. </w:t>
      </w:r>
    </w:p>
    <w:p w:rsidR="00000000" w:rsidDel="00000000" w:rsidP="00000000" w:rsidRDefault="00000000" w:rsidRPr="00000000" w14:paraId="00000134">
      <w:pPr>
        <w:ind w:left="2" w:hanging="2"/>
        <w:jc w:val="both"/>
        <w:rPr>
          <w:b w:val="1"/>
          <w:bCs w:val="1"/>
          <w:i w:val="1"/>
          <w:iCs w:val="1"/>
        </w:rPr>
      </w:pPr>
      <w:r w:rsidDel="00000000" w:rsidR="00000000" w:rsidRPr="00000000">
        <w:rPr>
          <w:b w:val="1"/>
          <w:bCs w:val="1"/>
          <w:i w:val="1"/>
          <w:iCs w:val="1"/>
          <w:rtl w:val="0"/>
        </w:rPr>
        <w:t xml:space="preserve">Observação: Os itens 10.12 até 10.15, foram excluídos deste Termo de Referência, pois os mesmos não se aplicam ao objeto contratado.</w:t>
      </w:r>
    </w:p>
    <w:p w:rsidR="00000000" w:rsidDel="00000000" w:rsidP="00000000" w:rsidRDefault="00000000" w:rsidRPr="00000000" w14:paraId="00000135">
      <w:pPr>
        <w:ind w:left="2" w:hanging="2"/>
        <w:jc w:val="both"/>
        <w:rPr>
          <w:i w:val="1"/>
          <w:iCs w:val="1"/>
        </w:rPr>
      </w:pPr>
      <w:r w:rsidDel="00000000" w:rsidR="00000000" w:rsidRPr="00000000">
        <w:rPr>
          <w:i w:val="1"/>
          <w:iCs w:val="1"/>
          <w:rtl w:val="0"/>
        </w:rPr>
        <w:t xml:space="preserve">Não será permitida a participação de empresas em regime de consórcio, conforme justificativa técnica e econômica constante do procedimento administrativo, pois a participação de consórcios envolve contratações de grande vulto e/ou alta complexidade técnica. Portanto, o presente processo não prevê as condições de participação de empresas reunidas em consórcio, uma vez que não possuía tais características.</w:t>
      </w:r>
    </w:p>
    <w:p w:rsidR="00000000" w:rsidDel="00000000" w:rsidP="00000000" w:rsidRDefault="00000000" w:rsidRPr="00000000" w14:paraId="00000136">
      <w:pPr>
        <w:ind w:left="2" w:hanging="2"/>
        <w:jc w:val="both"/>
        <w:rPr/>
      </w:pPr>
      <w:r w:rsidDel="00000000" w:rsidR="00000000" w:rsidRPr="00000000">
        <w:rPr>
          <w:rtl w:val="0"/>
        </w:rPr>
        <w:t xml:space="preserve">10.11. As empresas deverão possuir Licença Sanitária Estadual ou Municipal, compatível com a atividade de distribuição de alimentos.          </w:t>
      </w:r>
    </w:p>
    <w:p w:rsidR="00000000" w:rsidDel="00000000" w:rsidP="00000000" w:rsidRDefault="00000000" w:rsidRPr="00000000" w14:paraId="00000137">
      <w:pPr>
        <w:ind w:left="2" w:hanging="2"/>
        <w:jc w:val="both"/>
        <w:rPr>
          <w:sz w:val="22"/>
          <w:szCs w:val="22"/>
        </w:rPr>
      </w:pPr>
      <w:r w:rsidDel="00000000" w:rsidR="00000000" w:rsidRPr="00000000">
        <w:rPr>
          <w:rtl w:val="0"/>
        </w:rPr>
      </w:r>
    </w:p>
    <w:p w:rsidR="00000000" w:rsidDel="00000000" w:rsidP="00000000" w:rsidRDefault="00000000" w:rsidRPr="00000000" w14:paraId="00000138">
      <w:pPr>
        <w:ind w:left="2" w:hanging="2"/>
        <w:jc w:val="both"/>
        <w:rPr>
          <w:b w:val="1"/>
          <w:bCs w:val="1"/>
        </w:rPr>
      </w:pPr>
      <w:r w:rsidDel="00000000" w:rsidR="00000000" w:rsidRPr="00000000">
        <w:rPr>
          <w:b w:val="1"/>
          <w:bCs w:val="1"/>
          <w:rtl w:val="0"/>
        </w:rPr>
        <w:t xml:space="preserve">Habilitação fiscal, social e trabalhista </w:t>
      </w:r>
    </w:p>
    <w:p w:rsidR="00000000" w:rsidDel="00000000" w:rsidP="00000000" w:rsidRDefault="00000000" w:rsidRPr="00000000" w14:paraId="00000139">
      <w:pPr>
        <w:ind w:left="2" w:hanging="2"/>
        <w:jc w:val="both"/>
        <w:rPr/>
      </w:pPr>
      <w:r w:rsidDel="00000000" w:rsidR="00000000" w:rsidRPr="00000000">
        <w:rPr>
          <w:rtl w:val="0"/>
        </w:rPr>
        <w:t xml:space="preserve">10.16. Prova de inscrição no Cadastro Nacional de Pessoas Jurídicas ou no Cadastro de Pessoas Físicas, conforme o caso; </w:t>
      </w:r>
    </w:p>
    <w:p w:rsidR="00000000" w:rsidDel="00000000" w:rsidP="00000000" w:rsidRDefault="00000000" w:rsidRPr="00000000" w14:paraId="0000013A">
      <w:pPr>
        <w:ind w:left="2" w:hanging="2"/>
        <w:jc w:val="both"/>
        <w:rPr/>
      </w:pPr>
      <w:r w:rsidDel="00000000" w:rsidR="00000000" w:rsidRPr="00000000">
        <w:rPr>
          <w:rtl w:val="0"/>
        </w:rPr>
        <w:t xml:space="preserve">10.17.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rsidR="00000000" w:rsidDel="00000000" w:rsidP="00000000" w:rsidRDefault="00000000" w:rsidRPr="00000000" w14:paraId="0000013B">
      <w:pPr>
        <w:ind w:left="2" w:hanging="2"/>
        <w:jc w:val="both"/>
        <w:rPr/>
      </w:pPr>
      <w:r w:rsidDel="00000000" w:rsidR="00000000" w:rsidRPr="00000000">
        <w:rPr>
          <w:rtl w:val="0"/>
        </w:rPr>
        <w:t xml:space="preserve">10.18. Prova de regularidade com o Fundo de Garantia do Tempo de Serviço (FGTS); </w:t>
      </w:r>
    </w:p>
    <w:p w:rsidR="00000000" w:rsidDel="00000000" w:rsidP="00000000" w:rsidRDefault="00000000" w:rsidRPr="00000000" w14:paraId="0000013C">
      <w:pPr>
        <w:ind w:left="2" w:hanging="2"/>
        <w:jc w:val="both"/>
        <w:rPr/>
      </w:pPr>
      <w:r w:rsidDel="00000000" w:rsidR="00000000" w:rsidRPr="00000000">
        <w:rPr>
          <w:rtl w:val="0"/>
        </w:rPr>
        <w:t xml:space="preserve">10.19.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000000" w:rsidDel="00000000" w:rsidP="00000000" w:rsidRDefault="00000000" w:rsidRPr="00000000" w14:paraId="0000013D">
      <w:pPr>
        <w:ind w:left="2" w:hanging="2"/>
        <w:jc w:val="both"/>
        <w:rPr/>
      </w:pPr>
      <w:r w:rsidDel="00000000" w:rsidR="00000000" w:rsidRPr="00000000">
        <w:rPr>
          <w:rtl w:val="0"/>
        </w:rPr>
        <w:t xml:space="preserve">10.20. Prova de inscrição no cadastro de contribuintes Estadual e Municipal relativo ao domicílio ou sede do fornecedor, pertinente ao seu ramo de atividade e compatível com o objeto contratual; </w:t>
      </w:r>
    </w:p>
    <w:p w:rsidR="00000000" w:rsidDel="00000000" w:rsidP="00000000" w:rsidRDefault="00000000" w:rsidRPr="00000000" w14:paraId="0000013E">
      <w:pPr>
        <w:ind w:left="2" w:hanging="2"/>
        <w:jc w:val="both"/>
        <w:rPr/>
      </w:pPr>
      <w:r w:rsidDel="00000000" w:rsidR="00000000" w:rsidRPr="00000000">
        <w:rPr>
          <w:rtl w:val="0"/>
        </w:rPr>
        <w:t xml:space="preserve">10.21. Prova de regularidade com a Fazenda Estadual e Municipal do domicílio ou sede do fornecedor, relativa à atividade em cujo exercício contrata ou concorre; </w:t>
      </w:r>
    </w:p>
    <w:p w:rsidR="00000000" w:rsidDel="00000000" w:rsidP="00000000" w:rsidRDefault="00000000" w:rsidRPr="00000000" w14:paraId="0000013F">
      <w:pPr>
        <w:ind w:left="2" w:hanging="2"/>
        <w:jc w:val="both"/>
        <w:rPr/>
      </w:pPr>
      <w:r w:rsidDel="00000000" w:rsidR="00000000" w:rsidRPr="00000000">
        <w:rPr>
          <w:rtl w:val="0"/>
        </w:rPr>
        <w:t xml:space="preserve">10.22. Caso o fornecedor seja considerado isento dos tributos Estadual e Municipal relacionados ao objeto contratual, deverá comprovar tal condição mediante a apresentação de declaração da Fazenda respectiva do seu domicílio ou sede, ou outra equivalente, na forma da lei. </w:t>
      </w:r>
    </w:p>
    <w:p w:rsidR="00000000" w:rsidDel="00000000" w:rsidP="00000000" w:rsidRDefault="00000000" w:rsidRPr="00000000" w14:paraId="00000140">
      <w:pPr>
        <w:ind w:left="2" w:hanging="2"/>
        <w:jc w:val="both"/>
        <w:rPr/>
      </w:pPr>
      <w:r w:rsidDel="00000000" w:rsidR="00000000" w:rsidRPr="00000000">
        <w:rPr>
          <w:rtl w:val="0"/>
        </w:rPr>
        <w:t xml:space="preserve">10.23. O fornecedor enquadrado como microempreendedor individual que pretenda auferir os benefícios do tratamento diferenciado previstos na Lei Complementar n. 123, de 2006, estará dispensado da inscrição nos cadastros de contribuintes estadual e municipal. </w:t>
      </w:r>
    </w:p>
    <w:p w:rsidR="00000000" w:rsidDel="00000000" w:rsidP="00000000" w:rsidRDefault="00000000" w:rsidRPr="00000000" w14:paraId="00000141">
      <w:pPr>
        <w:ind w:left="2" w:hanging="2"/>
        <w:jc w:val="both"/>
        <w:rPr/>
      </w:pPr>
      <w:r w:rsidDel="00000000" w:rsidR="00000000" w:rsidRPr="00000000">
        <w:rPr>
          <w:rtl w:val="0"/>
        </w:rPr>
      </w:r>
    </w:p>
    <w:p w:rsidR="00000000" w:rsidDel="00000000" w:rsidP="00000000" w:rsidRDefault="00000000" w:rsidRPr="00000000" w14:paraId="00000142">
      <w:pPr>
        <w:ind w:left="2" w:hanging="2"/>
        <w:jc w:val="both"/>
        <w:rPr>
          <w:b w:val="1"/>
          <w:bCs w:val="1"/>
        </w:rPr>
      </w:pPr>
      <w:r w:rsidDel="00000000" w:rsidR="00000000" w:rsidRPr="00000000">
        <w:rPr>
          <w:b w:val="1"/>
          <w:bCs w:val="1"/>
          <w:rtl w:val="0"/>
        </w:rPr>
        <w:t xml:space="preserve">Qualificação Econômico-Financeira</w:t>
      </w:r>
    </w:p>
    <w:p w:rsidR="00000000" w:rsidDel="00000000" w:rsidP="00000000" w:rsidRDefault="00000000" w:rsidRPr="00000000" w14:paraId="00000143">
      <w:pPr>
        <w:ind w:left="2" w:hanging="2"/>
        <w:jc w:val="both"/>
        <w:rPr/>
      </w:pPr>
      <w:r w:rsidDel="00000000" w:rsidR="00000000" w:rsidRPr="00000000">
        <w:rPr>
          <w:rtl w:val="0"/>
        </w:rPr>
      </w:r>
    </w:p>
    <w:p w:rsidR="00000000" w:rsidDel="00000000" w:rsidP="00000000" w:rsidRDefault="00000000" w:rsidRPr="00000000" w14:paraId="00000144">
      <w:pPr>
        <w:ind w:left="2" w:hanging="2"/>
        <w:jc w:val="both"/>
        <w:rPr/>
      </w:pPr>
      <w:r w:rsidDel="00000000" w:rsidR="00000000" w:rsidRPr="00000000">
        <w:rPr>
          <w:rtl w:val="0"/>
        </w:rPr>
        <w:t xml:space="preserve">10.24. Certidão negativa de insolvência civil expedida pelo distribuidor do domicílio ou sede do licitante, caso se trate de pessoa física, desde que admitida a sua participação na licitação, ou de sociedade simples;</w:t>
      </w:r>
    </w:p>
    <w:p w:rsidR="00000000" w:rsidDel="00000000" w:rsidP="00000000" w:rsidRDefault="00000000" w:rsidRPr="00000000" w14:paraId="00000145">
      <w:pPr>
        <w:ind w:left="2" w:hanging="2"/>
        <w:jc w:val="both"/>
        <w:rPr/>
      </w:pPr>
      <w:r w:rsidDel="00000000" w:rsidR="00000000" w:rsidRPr="00000000">
        <w:rPr>
          <w:rtl w:val="0"/>
        </w:rPr>
        <w:t xml:space="preserve">10.25. Certidão negativa de falência expedida pelo distribuidor da sede do fornecedor - Lei nº 14.133, de 2021, art. 69, caput, inciso II);</w:t>
      </w:r>
    </w:p>
    <w:p w:rsidR="00000000" w:rsidDel="00000000" w:rsidP="00000000" w:rsidRDefault="00000000" w:rsidRPr="00000000" w14:paraId="00000146">
      <w:pPr>
        <w:ind w:left="2" w:hanging="2"/>
        <w:jc w:val="both"/>
        <w:rPr/>
      </w:pPr>
      <w:r w:rsidDel="00000000" w:rsidR="00000000" w:rsidRPr="00000000">
        <w:rPr>
          <w:rtl w:val="0"/>
        </w:rPr>
        <w:t xml:space="preserve">A habilitação econômico-financeira visa demonstrar a aptidão econômica do licitante para cumprir as obrigações decorrentes do futuro contrato.</w:t>
      </w:r>
    </w:p>
    <w:p w:rsidR="00000000" w:rsidDel="00000000" w:rsidP="00000000" w:rsidRDefault="00000000" w:rsidRPr="00000000" w14:paraId="00000147">
      <w:pPr>
        <w:ind w:left="2" w:hanging="2"/>
        <w:jc w:val="both"/>
        <w:rPr/>
      </w:pPr>
      <w:r w:rsidDel="00000000" w:rsidR="00000000" w:rsidRPr="00000000">
        <w:rPr>
          <w:rtl w:val="0"/>
        </w:rPr>
      </w:r>
    </w:p>
    <w:p w:rsidR="00000000" w:rsidDel="00000000" w:rsidP="00000000" w:rsidRDefault="00000000" w:rsidRPr="00000000" w14:paraId="00000148">
      <w:pPr>
        <w:ind w:left="2" w:hanging="2"/>
        <w:jc w:val="both"/>
        <w:rPr>
          <w:sz w:val="22"/>
          <w:szCs w:val="22"/>
          <w:highlight w:val="red"/>
        </w:rPr>
      </w:pPr>
      <w:r w:rsidDel="00000000" w:rsidR="00000000" w:rsidRPr="00000000">
        <w:rPr>
          <w:rtl w:val="0"/>
        </w:rPr>
      </w:r>
    </w:p>
    <w:p w:rsidR="00000000" w:rsidDel="00000000" w:rsidP="00000000" w:rsidRDefault="00000000" w:rsidRPr="00000000" w14:paraId="00000149">
      <w:pPr>
        <w:shd w:fill="d9d9d9" w:val="clear"/>
        <w:ind w:left="2" w:right="67" w:hanging="2"/>
        <w:jc w:val="both"/>
        <w:rPr>
          <w:b w:val="1"/>
          <w:bCs w:val="1"/>
        </w:rPr>
      </w:pPr>
      <w:r w:rsidDel="00000000" w:rsidR="00000000" w:rsidRPr="00000000">
        <w:rPr>
          <w:b w:val="1"/>
          <w:bCs w:val="1"/>
          <w:rtl w:val="0"/>
        </w:rPr>
        <w:t xml:space="preserve">11. ESTIMATIVA DA CONTRATAÇÃO</w:t>
      </w:r>
    </w:p>
    <w:p w:rsidR="00000000" w:rsidDel="00000000" w:rsidP="00000000" w:rsidRDefault="00000000" w:rsidRPr="00000000" w14:paraId="0000014A">
      <w:pPr>
        <w:ind w:hanging="2"/>
        <w:jc w:val="both"/>
        <w:rPr/>
      </w:pPr>
      <w:r w:rsidDel="00000000" w:rsidR="00000000" w:rsidRPr="00000000">
        <w:rPr>
          <w:rtl w:val="0"/>
        </w:rPr>
        <w:t xml:space="preserve">11.1. O custo estimado total da contratação é </w:t>
      </w:r>
      <w:r w:rsidDel="00000000" w:rsidR="00000000" w:rsidRPr="00000000">
        <w:rPr>
          <w:b w:val="1"/>
          <w:bCs w:val="1"/>
          <w:sz w:val="22"/>
          <w:szCs w:val="22"/>
          <w:highlight w:val="white"/>
          <w:rtl w:val="0"/>
        </w:rPr>
        <w:t xml:space="preserve">R$ 19.400,00 (DEZENOVE MIL E QUATROCENTOS REAIS)</w:t>
      </w:r>
      <w:r w:rsidDel="00000000" w:rsidR="00000000" w:rsidRPr="00000000">
        <w:rPr>
          <w:b w:val="1"/>
          <w:bCs w:val="1"/>
          <w:rtl w:val="0"/>
        </w:rPr>
        <w:t xml:space="preserve">, </w:t>
      </w:r>
      <w:r w:rsidDel="00000000" w:rsidR="00000000" w:rsidRPr="00000000">
        <w:rPr>
          <w:rtl w:val="0"/>
        </w:rPr>
        <w:t xml:space="preserve"> conforme custos unitários apostos na primeira tabela.</w:t>
      </w:r>
    </w:p>
    <w:p w:rsidR="00000000" w:rsidDel="00000000" w:rsidP="00000000" w:rsidRDefault="00000000" w:rsidRPr="00000000" w14:paraId="0000014B">
      <w:pPr>
        <w:ind w:hanging="2"/>
        <w:jc w:val="both"/>
        <w:rPr/>
      </w:pPr>
      <w:r w:rsidDel="00000000" w:rsidR="00000000" w:rsidRPr="00000000">
        <w:rPr>
          <w:rtl w:val="0"/>
        </w:rPr>
      </w:r>
    </w:p>
    <w:p w:rsidR="00000000" w:rsidDel="00000000" w:rsidP="00000000" w:rsidRDefault="00000000" w:rsidRPr="00000000" w14:paraId="0000014C">
      <w:pPr>
        <w:ind w:hanging="2"/>
        <w:jc w:val="both"/>
        <w:rPr/>
      </w:pPr>
      <w:r w:rsidDel="00000000" w:rsidR="00000000" w:rsidRPr="00000000">
        <w:rPr>
          <w:rtl w:val="0"/>
        </w:rPr>
        <w:t xml:space="preserve">11.2. O valor total estimado para esta contratação foi calculado pela multiplicação do valor unitário pela quantidade de cada item individualmente, e posterior somatória desses resultados, garantindo assim a economicidade e o benefício para a administração municipal.</w:t>
      </w:r>
    </w:p>
    <w:p w:rsidR="00000000" w:rsidDel="00000000" w:rsidP="00000000" w:rsidRDefault="00000000" w:rsidRPr="00000000" w14:paraId="0000014D">
      <w:pPr>
        <w:ind w:hanging="2"/>
        <w:jc w:val="both"/>
        <w:rPr/>
      </w:pPr>
      <w:r w:rsidDel="00000000" w:rsidR="00000000" w:rsidRPr="00000000">
        <w:rPr>
          <w:rtl w:val="0"/>
        </w:rPr>
      </w:r>
    </w:p>
    <w:p w:rsidR="00000000" w:rsidDel="00000000" w:rsidP="00000000" w:rsidRDefault="00000000" w:rsidRPr="00000000" w14:paraId="0000014E">
      <w:pPr>
        <w:shd w:fill="d9d9d9" w:val="clear"/>
        <w:ind w:left="2" w:right="67" w:hanging="2"/>
        <w:jc w:val="both"/>
        <w:rPr>
          <w:b w:val="1"/>
          <w:bCs w:val="1"/>
        </w:rPr>
      </w:pPr>
      <w:r w:rsidDel="00000000" w:rsidR="00000000" w:rsidRPr="00000000">
        <w:rPr>
          <w:b w:val="1"/>
          <w:bCs w:val="1"/>
          <w:rtl w:val="0"/>
        </w:rPr>
        <w:t xml:space="preserve">12. ADEQUAÇÃO ORÇAMENTÁRIA</w:t>
      </w:r>
    </w:p>
    <w:p w:rsidR="00000000" w:rsidDel="00000000" w:rsidP="00000000" w:rsidRDefault="00000000" w:rsidRPr="00000000" w14:paraId="0000014F">
      <w:pPr>
        <w:ind w:firstLine="0"/>
        <w:jc w:val="both"/>
        <w:rPr/>
      </w:pPr>
      <w:r w:rsidDel="00000000" w:rsidR="00000000" w:rsidRPr="00000000">
        <w:rPr>
          <w:rtl w:val="0"/>
        </w:rPr>
        <w:t xml:space="preserve">12.1. As despesas decorrentes da presente contratação correrão à conta de recursos específicos consignados no Orçamento.</w:t>
      </w:r>
    </w:p>
    <w:p w:rsidR="00000000" w:rsidDel="00000000" w:rsidP="00000000" w:rsidRDefault="00000000" w:rsidRPr="00000000" w14:paraId="00000150">
      <w:pPr>
        <w:ind w:hanging="2"/>
        <w:jc w:val="both"/>
        <w:rPr/>
      </w:pPr>
      <w:r w:rsidDel="00000000" w:rsidR="00000000" w:rsidRPr="00000000">
        <w:rPr>
          <w:rtl w:val="0"/>
        </w:rPr>
        <w:t xml:space="preserve">12.2. A contratação será atendida pela seguinte dotação:</w:t>
      </w:r>
    </w:p>
    <w:p w:rsidR="00000000" w:rsidDel="00000000" w:rsidP="00000000" w:rsidRDefault="00000000" w:rsidRPr="00000000" w14:paraId="00000151">
      <w:pPr>
        <w:ind w:hanging="2"/>
        <w:jc w:val="both"/>
        <w:rPr/>
      </w:pPr>
      <w:r w:rsidDel="00000000" w:rsidR="00000000" w:rsidRPr="00000000">
        <w:rPr>
          <w:rtl w:val="0"/>
        </w:rPr>
      </w:r>
    </w:p>
    <w:p w:rsidR="00000000" w:rsidDel="00000000" w:rsidP="00000000" w:rsidRDefault="00000000" w:rsidRPr="00000000" w14:paraId="00000152">
      <w:pPr>
        <w:spacing w:after="240" w:before="240" w:lineRule="auto"/>
        <w:ind w:firstLine="0"/>
        <w:jc w:val="both"/>
        <w:rPr/>
      </w:pPr>
      <w:r w:rsidDel="00000000" w:rsidR="00000000" w:rsidRPr="00000000">
        <w:rPr>
          <w:rtl w:val="0"/>
        </w:rPr>
        <w:t xml:space="preserve">429-3.3.90.30.00.00.00.00 - Material de consumo</w:t>
      </w:r>
    </w:p>
    <w:p w:rsidR="00000000" w:rsidDel="00000000" w:rsidP="00000000" w:rsidRDefault="00000000" w:rsidRPr="00000000" w14:paraId="00000153">
      <w:pPr>
        <w:spacing w:after="240" w:before="240" w:lineRule="auto"/>
        <w:ind w:firstLine="0"/>
        <w:jc w:val="both"/>
        <w:rPr/>
      </w:pPr>
      <w:r w:rsidDel="00000000" w:rsidR="00000000" w:rsidRPr="00000000">
        <w:rPr>
          <w:rtl w:val="0"/>
        </w:rPr>
        <w:t xml:space="preserve">0402901050.99.99.00.00.2.759.0000 - FORTALECIMENTO DA REDE PROTEÇÃO DAS MULHERES - DEL N° 11/2024</w:t>
      </w:r>
    </w:p>
    <w:p w:rsidR="00000000" w:rsidDel="00000000" w:rsidP="00000000" w:rsidRDefault="00000000" w:rsidRPr="00000000" w14:paraId="00000154">
      <w:pPr>
        <w:spacing w:after="240" w:before="240" w:lineRule="auto"/>
        <w:ind w:firstLine="0"/>
        <w:jc w:val="both"/>
        <w:rPr/>
      </w:pPr>
      <w:r w:rsidDel="00000000" w:rsidR="00000000" w:rsidRPr="00000000">
        <w:rPr>
          <w:rtl w:val="0"/>
        </w:rPr>
      </w:r>
    </w:p>
    <w:p w:rsidR="00000000" w:rsidDel="00000000" w:rsidP="00000000" w:rsidRDefault="00000000" w:rsidRPr="00000000" w14:paraId="00000155">
      <w:pPr>
        <w:ind w:hanging="2"/>
        <w:jc w:val="both"/>
        <w:rPr/>
      </w:pPr>
      <w:r w:rsidDel="00000000" w:rsidR="00000000" w:rsidRPr="00000000">
        <w:rPr>
          <w:rtl w:val="0"/>
        </w:rPr>
      </w:r>
    </w:p>
    <w:p w:rsidR="00000000" w:rsidDel="00000000" w:rsidP="00000000" w:rsidRDefault="00000000" w:rsidRPr="00000000" w14:paraId="00000156">
      <w:pPr>
        <w:ind w:hanging="2"/>
        <w:jc w:val="both"/>
        <w:rPr/>
      </w:pPr>
      <w:r w:rsidDel="00000000" w:rsidR="00000000" w:rsidRPr="00000000">
        <w:rPr>
          <w:rtl w:val="0"/>
        </w:rPr>
        <w:t xml:space="preserve">12.3. A dotação relativa aos exercícios financeiros subsequentes será indicada após aprovação da Lei Orçamentária respectiva e liberação dos créditos correspondentes, mediante apostilamento. </w:t>
      </w:r>
    </w:p>
    <w:p w:rsidR="00000000" w:rsidDel="00000000" w:rsidP="00000000" w:rsidRDefault="00000000" w:rsidRPr="00000000" w14:paraId="00000157">
      <w:pPr>
        <w:ind w:left="2" w:right="67" w:hanging="2"/>
        <w:jc w:val="both"/>
        <w:rPr/>
      </w:pPr>
      <w:r w:rsidDel="00000000" w:rsidR="00000000" w:rsidRPr="00000000">
        <w:rPr>
          <w:rtl w:val="0"/>
        </w:rPr>
        <w:t xml:space="preserve">13. O presente Termo de Referência não tem necessidade de classificação nos termos da Lei nº 12.527, de 18 de novembro de 2011.</w:t>
      </w:r>
    </w:p>
    <w:p w:rsidR="00000000" w:rsidDel="00000000" w:rsidP="00000000" w:rsidRDefault="00000000" w:rsidRPr="00000000" w14:paraId="00000158">
      <w:pPr>
        <w:ind w:right="67" w:hanging="2"/>
        <w:jc w:val="right"/>
        <w:rPr/>
      </w:pPr>
      <w:r w:rsidDel="00000000" w:rsidR="00000000" w:rsidRPr="00000000">
        <w:rPr>
          <w:rtl w:val="0"/>
        </w:rPr>
      </w:r>
    </w:p>
    <w:p w:rsidR="00000000" w:rsidDel="00000000" w:rsidP="00000000" w:rsidRDefault="00000000" w:rsidRPr="00000000" w14:paraId="00000159">
      <w:pPr>
        <w:ind w:right="67" w:hanging="2"/>
        <w:jc w:val="right"/>
        <w:rPr/>
      </w:pPr>
      <w:r w:rsidDel="00000000" w:rsidR="00000000" w:rsidRPr="00000000">
        <w:rPr>
          <w:rtl w:val="0"/>
        </w:rPr>
      </w:r>
    </w:p>
    <w:p w:rsidR="00000000" w:rsidDel="00000000" w:rsidP="00000000" w:rsidRDefault="00000000" w:rsidRPr="00000000" w14:paraId="0000015A">
      <w:pPr>
        <w:ind w:right="67" w:hanging="2"/>
        <w:jc w:val="right"/>
        <w:rPr/>
      </w:pPr>
      <w:r w:rsidDel="00000000" w:rsidR="00000000" w:rsidRPr="00000000">
        <w:rPr>
          <w:rtl w:val="0"/>
        </w:rPr>
      </w:r>
    </w:p>
    <w:p w:rsidR="00000000" w:rsidDel="00000000" w:rsidP="00000000" w:rsidRDefault="00000000" w:rsidRPr="00000000" w14:paraId="0000015B">
      <w:pPr>
        <w:ind w:right="67" w:hanging="2"/>
        <w:jc w:val="right"/>
        <w:rPr/>
      </w:pPr>
      <w:r w:rsidDel="00000000" w:rsidR="00000000" w:rsidRPr="00000000">
        <w:rPr>
          <w:rtl w:val="0"/>
        </w:rPr>
        <w:t xml:space="preserve">Bandeirantes, 02 de fevereiro de 2026</w:t>
      </w:r>
      <w:r w:rsidDel="00000000" w:rsidR="00000000" w:rsidRPr="00000000">
        <w:rPr>
          <w:rtl w:val="0"/>
        </w:rPr>
        <w:t xml:space="preserve">.</w:t>
      </w:r>
    </w:p>
    <w:p w:rsidR="00000000" w:rsidDel="00000000" w:rsidP="00000000" w:rsidRDefault="00000000" w:rsidRPr="00000000" w14:paraId="0000015C">
      <w:pPr>
        <w:ind w:right="67" w:hanging="2"/>
        <w:jc w:val="right"/>
        <w:rPr/>
      </w:pPr>
      <w:r w:rsidDel="00000000" w:rsidR="00000000" w:rsidRPr="00000000">
        <w:rPr>
          <w:rtl w:val="0"/>
        </w:rPr>
      </w:r>
    </w:p>
    <w:p w:rsidR="00000000" w:rsidDel="00000000" w:rsidP="00000000" w:rsidRDefault="00000000" w:rsidRPr="00000000" w14:paraId="0000015D">
      <w:pPr>
        <w:ind w:right="-362" w:hanging="2"/>
        <w:jc w:val="both"/>
        <w:rPr/>
      </w:pPr>
      <w:r w:rsidDel="00000000" w:rsidR="00000000" w:rsidRPr="00000000">
        <w:rPr>
          <w:rtl w:val="0"/>
        </w:rPr>
      </w:r>
    </w:p>
    <w:p w:rsidR="00000000" w:rsidDel="00000000" w:rsidP="00000000" w:rsidRDefault="00000000" w:rsidRPr="00000000" w14:paraId="0000015E">
      <w:pPr>
        <w:ind w:right="-426" w:hanging="113"/>
        <w:jc w:val="center"/>
        <w:rPr>
          <w:sz w:val="22"/>
          <w:szCs w:val="22"/>
        </w:rPr>
      </w:pPr>
      <w:r w:rsidDel="00000000" w:rsidR="00000000" w:rsidRPr="00000000">
        <w:rPr>
          <w:sz w:val="22"/>
          <w:szCs w:val="22"/>
          <w:rtl w:val="0"/>
        </w:rPr>
        <w:t xml:space="preserve">__________________________________________</w:t>
      </w:r>
    </w:p>
    <w:p w:rsidR="00000000" w:rsidDel="00000000" w:rsidP="00000000" w:rsidRDefault="00000000" w:rsidRPr="00000000" w14:paraId="0000015F">
      <w:pPr>
        <w:ind w:right="-426" w:hanging="113"/>
        <w:jc w:val="center"/>
        <w:rPr>
          <w:b w:val="1"/>
          <w:bCs w:val="1"/>
          <w:sz w:val="22"/>
          <w:szCs w:val="22"/>
        </w:rPr>
      </w:pPr>
      <w:r w:rsidDel="00000000" w:rsidR="00000000" w:rsidRPr="00000000">
        <w:rPr>
          <w:b w:val="1"/>
          <w:bCs w:val="1"/>
          <w:sz w:val="22"/>
          <w:szCs w:val="22"/>
          <w:rtl w:val="0"/>
        </w:rPr>
        <w:t xml:space="preserve">ROSIANE CRISTINA VIEIRA NÉIA STORTI</w:t>
      </w:r>
    </w:p>
    <w:p w:rsidR="00000000" w:rsidDel="00000000" w:rsidP="00000000" w:rsidRDefault="00000000" w:rsidRPr="00000000" w14:paraId="00000160">
      <w:pPr>
        <w:ind w:right="-426" w:hanging="113"/>
        <w:jc w:val="center"/>
        <w:rPr>
          <w:b w:val="1"/>
          <w:bCs w:val="1"/>
          <w:sz w:val="22"/>
          <w:szCs w:val="22"/>
        </w:rPr>
      </w:pPr>
      <w:r w:rsidDel="00000000" w:rsidR="00000000" w:rsidRPr="00000000">
        <w:rPr>
          <w:b w:val="1"/>
          <w:bCs w:val="1"/>
          <w:sz w:val="22"/>
          <w:szCs w:val="22"/>
          <w:rtl w:val="0"/>
        </w:rPr>
        <w:t xml:space="preserve">Secretária Municipal de Assistência Social e Políticas para Mulheres</w:t>
      </w:r>
    </w:p>
    <w:p w:rsidR="00000000" w:rsidDel="00000000" w:rsidP="00000000" w:rsidRDefault="00000000" w:rsidRPr="00000000" w14:paraId="00000161">
      <w:pPr>
        <w:ind w:right="-426" w:hanging="113"/>
        <w:jc w:val="center"/>
        <w:rPr>
          <w:sz w:val="22"/>
          <w:szCs w:val="22"/>
        </w:rPr>
      </w:pPr>
      <w:r w:rsidDel="00000000" w:rsidR="00000000" w:rsidRPr="00000000">
        <w:rPr>
          <w:sz w:val="22"/>
          <w:szCs w:val="22"/>
          <w:rtl w:val="0"/>
        </w:rPr>
        <w:t xml:space="preserve">Portaria 14.859/2025</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993" w:top="2410" w:left="993" w:right="12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jc w:val="center"/>
      <w:rPr>
        <w:sz w:val="14"/>
        <w:szCs w:val="14"/>
      </w:rPr>
    </w:pPr>
    <w:r w:rsidDel="00000000" w:rsidR="00000000" w:rsidRPr="00000000">
      <w:rPr>
        <w:sz w:val="14"/>
        <w:szCs w:val="14"/>
        <w:rtl w:val="0"/>
      </w:rPr>
      <w:t xml:space="preserve"> Rua Frei Rafael Proner nº 1457 – Caixa Postal 281 – CEP 86.360-000 –– Tel: (43) 3542-4525 – Fax 3542-3322 e CNPJ 76.235.753/0001-48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jc w:val="both"/>
      <w:rPr>
        <w:sz w:val="14"/>
        <w:szCs w:val="14"/>
      </w:rPr>
    </w:pPr>
    <w:bookmarkStart w:colFirst="0" w:colLast="0" w:name="_heading=h.wgsm8lmrt6k2" w:id="5"/>
    <w:bookmarkEnd w:id="5"/>
    <w:r w:rsidDel="00000000" w:rsidR="00000000" w:rsidRPr="00000000">
      <w:rPr>
        <w:sz w:val="14"/>
        <w:szCs w:val="14"/>
        <w:rtl w:val="0"/>
      </w:rPr>
      <w:t xml:space="preserve">                                            Rua Frei Rafael Proner nº 1457 – Caixa Postal 281 – CEP 86.360-000 –– Tel: (43) 3542-4525 – Fax 3542-3322 e CNPJ 76.235.753/0001-48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tabs>
        <w:tab w:val="center" w:leader="none" w:pos="4252"/>
        <w:tab w:val="right" w:leader="none" w:pos="8504"/>
      </w:tabs>
      <w:ind w:hanging="2"/>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909638</wp:posOffset>
              </wp:positionH>
              <wp:positionV relativeFrom="paragraph">
                <wp:posOffset>-233360</wp:posOffset>
              </wp:positionV>
              <wp:extent cx="5474970" cy="1107440"/>
              <wp:effectExtent b="0" l="0" r="0" t="0"/>
              <wp:wrapNone/>
              <wp:docPr id="84" name=""/>
              <a:graphic>
                <a:graphicData uri="http://schemas.microsoft.com/office/word/2010/wordprocessingShape">
                  <wps:wsp>
                    <wps:cNvSpPr/>
                    <wps:cNvPr id="2" name="Shape 2"/>
                    <wps:spPr>
                      <a:xfrm>
                        <a:off x="2646540" y="3264300"/>
                        <a:ext cx="5398920" cy="1031400"/>
                      </a:xfrm>
                      <a:prstGeom prst="rect">
                        <a:avLst/>
                      </a:prstGeom>
                      <a:noFill/>
                      <a:ln>
                        <a:noFill/>
                      </a:ln>
                    </wps:spPr>
                    <wps:txbx>
                      <w:txbxContent>
                        <w:p w:rsidR="00000000" w:rsidDel="00000000" w:rsidP="00000000" w:rsidRDefault="00000000" w:rsidRPr="00000000">
                          <w:pPr>
                            <w:spacing w:after="0" w:before="360" w:line="240"/>
                            <w:ind w:left="2.0000000298023224" w:right="0" w:firstLine="12.000000476837158"/>
                            <w:jc w:val="both"/>
                            <w:textDirection w:val="btLr"/>
                          </w:pPr>
                          <w:r w:rsidDel="00000000" w:rsidR="00000000" w:rsidRPr="00000000">
                            <w:rPr>
                              <w:rFonts w:ascii="Algerian" w:cs="Algerian" w:eastAsia="Algerian" w:hAnsi="Algerian"/>
                              <w:b w:val="0"/>
                              <w:i w:val="1"/>
                              <w:smallCaps w:val="0"/>
                              <w:strike w:val="0"/>
                              <w:color w:val="000000"/>
                              <w:sz w:val="40"/>
                              <w:vertAlign w:val="baseline"/>
                            </w:rPr>
                            <w:t xml:space="preserve">PREFEITURA MUNICIPAL DE BANDEIRANTES</w:t>
                          </w:r>
                        </w:p>
                        <w:p w:rsidR="00000000" w:rsidDel="00000000" w:rsidP="00000000" w:rsidRDefault="00000000" w:rsidRPr="00000000">
                          <w:pPr>
                            <w:spacing w:after="0" w:before="120" w:line="240"/>
                            <w:ind w:left="1.0000000149011612" w:right="0" w:firstLine="5"/>
                            <w:jc w:val="center"/>
                            <w:textDirection w:val="btLr"/>
                          </w:pPr>
                          <w:r w:rsidDel="00000000" w:rsidR="00000000" w:rsidRPr="00000000">
                            <w:rPr>
                              <w:rFonts w:ascii="Algerian" w:cs="Algerian" w:eastAsia="Algerian" w:hAnsi="Algerian"/>
                              <w:b w:val="0"/>
                              <w:i w:val="1"/>
                              <w:smallCaps w:val="0"/>
                              <w:strike w:val="0"/>
                              <w:color w:val="000000"/>
                              <w:sz w:val="40"/>
                              <w:vertAlign w:val="baseline"/>
                            </w:rPr>
                          </w:r>
                          <w:r w:rsidDel="00000000" w:rsidR="00000000" w:rsidRPr="00000000">
                            <w:rPr>
                              <w:rFonts w:ascii="Algerian" w:cs="Algerian" w:eastAsia="Algerian" w:hAnsi="Algerian"/>
                              <w:b w:val="0"/>
                              <w:i w:val="1"/>
                              <w:smallCaps w:val="0"/>
                              <w:strike w:val="0"/>
                              <w:color w:val="000000"/>
                              <w:sz w:val="28"/>
                              <w:vertAlign w:val="baseline"/>
                            </w:rPr>
                            <w:t xml:space="preserve">ESTADO DO PARANÁ</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lgerian" w:cs="Algerian" w:eastAsia="Algerian" w:hAnsi="Algerian"/>
                              <w:b w:val="0"/>
                              <w:i w:val="1"/>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909638</wp:posOffset>
              </wp:positionH>
              <wp:positionV relativeFrom="paragraph">
                <wp:posOffset>-233360</wp:posOffset>
              </wp:positionV>
              <wp:extent cx="5474970" cy="1107440"/>
              <wp:effectExtent b="0" l="0" r="0" t="0"/>
              <wp:wrapNone/>
              <wp:docPr id="8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74970" cy="110744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-23486</wp:posOffset>
          </wp:positionH>
          <wp:positionV relativeFrom="paragraph">
            <wp:posOffset>-179059</wp:posOffset>
          </wp:positionV>
          <wp:extent cx="935355" cy="1113155"/>
          <wp:effectExtent b="0" l="0" r="0" t="0"/>
          <wp:wrapNone/>
          <wp:docPr id="8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35355" cy="1113155"/>
                  </a:xfrm>
                  <a:prstGeom prst="rect"/>
                  <a:ln/>
                </pic:spPr>
              </pic:pic>
            </a:graphicData>
          </a:graphic>
        </wp:anchor>
      </w:drawing>
    </w:r>
  </w:p>
  <w:p w:rsidR="00000000" w:rsidDel="00000000" w:rsidP="00000000" w:rsidRDefault="00000000" w:rsidRPr="00000000" w14:paraId="00000164">
    <w:pPr>
      <w:tabs>
        <w:tab w:val="center" w:leader="none" w:pos="4252"/>
        <w:tab w:val="right" w:leader="none" w:pos="8504"/>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tabs>
        <w:tab w:val="center" w:leader="none" w:pos="4252"/>
        <w:tab w:val="right" w:leader="none" w:pos="8504"/>
      </w:tabs>
      <w:ind w:hanging="2"/>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882651</wp:posOffset>
              </wp:positionH>
              <wp:positionV relativeFrom="paragraph">
                <wp:posOffset>-209542</wp:posOffset>
              </wp:positionV>
              <wp:extent cx="5474970" cy="1107440"/>
              <wp:effectExtent b="0" l="0" r="0" t="0"/>
              <wp:wrapNone/>
              <wp:docPr id="85" name=""/>
              <a:graphic>
                <a:graphicData uri="http://schemas.microsoft.com/office/word/2010/wordprocessingShape">
                  <wps:wsp>
                    <wps:cNvSpPr/>
                    <wps:cNvPr id="3" name="Shape 3"/>
                    <wps:spPr>
                      <a:xfrm>
                        <a:off x="2646540" y="3264300"/>
                        <a:ext cx="5398920" cy="1031400"/>
                      </a:xfrm>
                      <a:prstGeom prst="rect">
                        <a:avLst/>
                      </a:prstGeom>
                      <a:noFill/>
                      <a:ln>
                        <a:noFill/>
                      </a:ln>
                    </wps:spPr>
                    <wps:txbx>
                      <w:txbxContent>
                        <w:p w:rsidR="00000000" w:rsidDel="00000000" w:rsidP="00000000" w:rsidRDefault="00000000" w:rsidRPr="00000000">
                          <w:pPr>
                            <w:spacing w:after="0" w:before="360" w:line="240"/>
                            <w:ind w:left="2.0000000298023224" w:right="0" w:firstLine="12.000000476837158"/>
                            <w:jc w:val="both"/>
                            <w:textDirection w:val="btLr"/>
                          </w:pPr>
                          <w:r w:rsidDel="00000000" w:rsidR="00000000" w:rsidRPr="00000000">
                            <w:rPr>
                              <w:rFonts w:ascii="Algerian" w:cs="Algerian" w:eastAsia="Algerian" w:hAnsi="Algerian"/>
                              <w:b w:val="0"/>
                              <w:i w:val="1"/>
                              <w:smallCaps w:val="0"/>
                              <w:strike w:val="0"/>
                              <w:color w:val="000000"/>
                              <w:sz w:val="40"/>
                              <w:vertAlign w:val="baseline"/>
                            </w:rPr>
                            <w:t xml:space="preserve">PREFEITURA MUNICIPAL DE BANDEIRANTES</w:t>
                          </w:r>
                        </w:p>
                        <w:p w:rsidR="00000000" w:rsidDel="00000000" w:rsidP="00000000" w:rsidRDefault="00000000" w:rsidRPr="00000000">
                          <w:pPr>
                            <w:spacing w:after="0" w:before="120" w:line="240"/>
                            <w:ind w:left="1.0000000149011612" w:right="0" w:firstLine="5"/>
                            <w:jc w:val="center"/>
                            <w:textDirection w:val="btLr"/>
                          </w:pPr>
                          <w:r w:rsidDel="00000000" w:rsidR="00000000" w:rsidRPr="00000000">
                            <w:rPr>
                              <w:rFonts w:ascii="Algerian" w:cs="Algerian" w:eastAsia="Algerian" w:hAnsi="Algerian"/>
                              <w:b w:val="0"/>
                              <w:i w:val="1"/>
                              <w:smallCaps w:val="0"/>
                              <w:strike w:val="0"/>
                              <w:color w:val="000000"/>
                              <w:sz w:val="40"/>
                              <w:vertAlign w:val="baseline"/>
                            </w:rPr>
                          </w:r>
                          <w:r w:rsidDel="00000000" w:rsidR="00000000" w:rsidRPr="00000000">
                            <w:rPr>
                              <w:rFonts w:ascii="Algerian" w:cs="Algerian" w:eastAsia="Algerian" w:hAnsi="Algerian"/>
                              <w:b w:val="0"/>
                              <w:i w:val="1"/>
                              <w:smallCaps w:val="0"/>
                              <w:strike w:val="0"/>
                              <w:color w:val="000000"/>
                              <w:sz w:val="28"/>
                              <w:vertAlign w:val="baseline"/>
                            </w:rPr>
                            <w:t xml:space="preserve">ESTADO DO PARANÁ</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lgerian" w:cs="Algerian" w:eastAsia="Algerian" w:hAnsi="Algerian"/>
                              <w:b w:val="0"/>
                              <w:i w:val="1"/>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882651</wp:posOffset>
              </wp:positionH>
              <wp:positionV relativeFrom="paragraph">
                <wp:posOffset>-209542</wp:posOffset>
              </wp:positionV>
              <wp:extent cx="5474970" cy="1107440"/>
              <wp:effectExtent b="0" l="0" r="0" t="0"/>
              <wp:wrapNone/>
              <wp:docPr id="8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74970" cy="110744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-23486</wp:posOffset>
          </wp:positionH>
          <wp:positionV relativeFrom="paragraph">
            <wp:posOffset>-179059</wp:posOffset>
          </wp:positionV>
          <wp:extent cx="935355" cy="1113155"/>
          <wp:effectExtent b="0" l="0" r="0" t="0"/>
          <wp:wrapNone/>
          <wp:docPr id="8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35355" cy="1113155"/>
                  </a:xfrm>
                  <a:prstGeom prst="rect"/>
                  <a:ln/>
                </pic:spPr>
              </pic:pic>
            </a:graphicData>
          </a:graphic>
        </wp:anchor>
      </w:drawing>
    </w:r>
  </w:p>
  <w:p w:rsidR="00000000" w:rsidDel="00000000" w:rsidP="00000000" w:rsidRDefault="00000000" w:rsidRPr="00000000" w14:paraId="00000166">
    <w:pPr>
      <w:tabs>
        <w:tab w:val="center" w:leader="none" w:pos="4252"/>
        <w:tab w:val="right" w:leader="none" w:pos="8504"/>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3969"/>
      <w:jc w:val="both"/>
    </w:pPr>
    <w:rPr>
      <w:b w:val="1"/>
      <w:bCs w:val="1"/>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character" w:styleId="CabealhoChar" w:customStyle="1">
    <w:name w:val="Cabeçalho Char"/>
    <w:qFormat w:val="1"/>
    <w:rPr>
      <w:w w:val="100"/>
      <w:position w:val="0"/>
      <w:sz w:val="24"/>
      <w:szCs w:val="24"/>
      <w:effect w:val="none"/>
      <w:vertAlign w:val="baseline"/>
      <w:em w:val="none"/>
    </w:rPr>
  </w:style>
  <w:style w:type="character" w:styleId="RodapChar" w:customStyle="1">
    <w:name w:val="Rodapé Char"/>
    <w:qFormat w:val="1"/>
    <w:rPr>
      <w:w w:val="100"/>
      <w:position w:val="0"/>
      <w:sz w:val="24"/>
      <w:szCs w:val="24"/>
      <w:effect w:val="none"/>
      <w:vertAlign w:val="baseline"/>
      <w:em w:val="none"/>
    </w:rPr>
  </w:style>
  <w:style w:type="character" w:styleId="TextodebaloChar" w:customStyle="1">
    <w:name w:val="Texto de balão Char"/>
    <w:qFormat w:val="1"/>
    <w:rPr>
      <w:rFonts w:ascii="Segoe UI" w:cs="Segoe UI" w:hAnsi="Segoe UI"/>
      <w:w w:val="100"/>
      <w:position w:val="0"/>
      <w:sz w:val="18"/>
      <w:szCs w:val="18"/>
      <w:effect w:val="none"/>
      <w:vertAlign w:val="baseline"/>
      <w:em w:val="none"/>
    </w:rPr>
  </w:style>
  <w:style w:type="character" w:styleId="Ttulo3Char" w:customStyle="1">
    <w:name w:val="Título 3 Char"/>
    <w:qFormat w:val="1"/>
    <w:rPr>
      <w:rFonts w:ascii="Calibri Light" w:cs="Times New Roman" w:eastAsia="Times New Roman" w:hAnsi="Calibri Light"/>
      <w:b w:val="1"/>
      <w:bCs w:val="1"/>
      <w:w w:val="100"/>
      <w:position w:val="0"/>
      <w:sz w:val="26"/>
      <w:szCs w:val="26"/>
      <w:effect w:val="none"/>
      <w:vertAlign w:val="baseline"/>
      <w:em w:val="none"/>
    </w:rPr>
  </w:style>
  <w:style w:type="character" w:styleId="Recuodecorpodetexto3Char" w:customStyle="1">
    <w:name w:val="Recuo de corpo de texto 3 Char"/>
    <w:qFormat w:val="1"/>
    <w:rPr>
      <w:w w:val="100"/>
      <w:position w:val="0"/>
      <w:sz w:val="16"/>
      <w:szCs w:val="16"/>
      <w:effect w:val="none"/>
      <w:vertAlign w:val="baseline"/>
      <w:em w:val="none"/>
    </w:rPr>
  </w:style>
  <w:style w:type="character" w:styleId="CorpodetextoChar" w:customStyle="1">
    <w:name w:val="Corpo de texto Char"/>
    <w:basedOn w:val="Fontepargpadro"/>
    <w:link w:val="Corpodetexto"/>
    <w:uiPriority w:val="99"/>
    <w:semiHidden w:val="1"/>
    <w:qFormat w:val="1"/>
    <w:rsid w:val="00DE5CB3"/>
    <w:rPr>
      <w:vertAlign w:val="subscript"/>
    </w:rPr>
  </w:style>
  <w:style w:type="character" w:styleId="Hyperlink">
    <w:name w:val="Hyperlink"/>
    <w:basedOn w:val="Fontepargpadro"/>
    <w:uiPriority w:val="99"/>
    <w:unhideWhenUsed w:val="1"/>
    <w:rsid w:val="00FB153A"/>
    <w:rPr>
      <w:color w:val="0000ff" w:themeColor="hyperlink"/>
      <w:u w:val="single"/>
    </w:rPr>
  </w:style>
  <w:style w:type="character" w:styleId="uv3um" w:customStyle="1">
    <w:name w:val="uv3um"/>
    <w:basedOn w:val="Fontepargpadro"/>
    <w:qFormat w:val="1"/>
    <w:rsid w:val="00797723"/>
  </w:style>
  <w:style w:type="character" w:styleId="MenoPendente1" w:customStyle="1">
    <w:name w:val="Menção Pendente1"/>
    <w:basedOn w:val="Fontepargpadro"/>
    <w:uiPriority w:val="99"/>
    <w:semiHidden w:val="1"/>
    <w:unhideWhenUsed w:val="1"/>
    <w:qFormat w:val="1"/>
    <w:rsid w:val="00506B5E"/>
    <w:rPr>
      <w:color w:val="605e5c"/>
      <w:shd w:color="auto" w:fill="e1dfdd" w:val="clear"/>
    </w:rPr>
  </w:style>
  <w:style w:type="character" w:styleId="Forte">
    <w:name w:val="Strong"/>
    <w:qFormat w:val="1"/>
    <w:rPr>
      <w:b w:val="1"/>
      <w:bCs w:val="1"/>
    </w:rPr>
  </w:style>
  <w:style w:type="paragraph" w:styleId="Corpodetexto">
    <w:name w:val="Body Text"/>
    <w:basedOn w:val="Normal"/>
    <w:link w:val="CorpodetextoChar"/>
    <w:uiPriority w:val="99"/>
    <w:semiHidden w:val="1"/>
    <w:unhideWhenUsed w:val="1"/>
    <w:rsid w:val="00DE5CB3"/>
    <w:pPr>
      <w:spacing w:after="120"/>
    </w:pPr>
  </w:style>
  <w:style w:type="paragraph" w:styleId="Lista">
    <w:name w:val="List"/>
    <w:basedOn w:val="Corpodetexto"/>
    <w:rPr>
      <w:rFonts w:cs="Arial"/>
    </w:rPr>
  </w:style>
  <w:style w:type="paragraph" w:styleId="Legenda">
    <w:name w:val="caption"/>
    <w:basedOn w:val="Normal"/>
    <w:qFormat w:val="1"/>
    <w:pPr>
      <w:suppressLineNumbers w:val="1"/>
      <w:spacing w:after="120" w:before="120"/>
    </w:pPr>
    <w:rPr>
      <w:rFonts w:cs="Arial"/>
      <w:i w:val="1"/>
      <w:iCs w:val="1"/>
    </w:rPr>
  </w:style>
  <w:style w:type="paragraph" w:styleId="ndice" w:customStyle="1">
    <w:name w:val="Índice"/>
    <w:basedOn w:val="Normal"/>
    <w:qFormat w:val="1"/>
    <w:pPr>
      <w:suppressLineNumbers w:val="1"/>
    </w:pPr>
    <w:rPr>
      <w:rFonts w:cs="Arial"/>
    </w:rPr>
  </w:style>
  <w:style w:type="paragraph" w:styleId="Recuodecorpodetexto">
    <w:name w:val="Body Text Indent"/>
    <w:basedOn w:val="Normal"/>
    <w:pPr>
      <w:ind w:left="851" w:firstLine="3118"/>
      <w:jc w:val="both"/>
    </w:pPr>
    <w:rPr>
      <w:sz w:val="28"/>
      <w:szCs w:val="20"/>
    </w:rPr>
  </w:style>
  <w:style w:type="paragraph" w:styleId="Recuodecorpodetexto2">
    <w:name w:val="Body Text Indent 2"/>
    <w:basedOn w:val="Normal"/>
    <w:qFormat w:val="1"/>
    <w:pPr>
      <w:ind w:left="1080" w:firstLine="2889"/>
      <w:jc w:val="both"/>
    </w:pPr>
    <w:rPr>
      <w:bCs w:val="1"/>
      <w:sz w:val="25"/>
      <w:szCs w:val="28"/>
    </w:rPr>
  </w:style>
  <w:style w:type="paragraph" w:styleId="CabealhoeRodap" w:customStyle="1">
    <w:name w:val="Cabeçalho e Rodapé"/>
    <w:basedOn w:val="Normal"/>
    <w:qFormat w:val="1"/>
    <w:rsid w:val="00BE20BB"/>
    <w:pPr>
      <w:ind w:firstLine="0"/>
    </w:pPr>
  </w:style>
  <w:style w:type="paragraph" w:styleId="Cabealho">
    <w:name w:val="header"/>
    <w:basedOn w:val="Normal"/>
    <w:qFormat w:val="1"/>
    <w:pPr>
      <w:tabs>
        <w:tab w:val="center" w:pos="4252"/>
        <w:tab w:val="right" w:pos="8504"/>
      </w:tabs>
    </w:pPr>
  </w:style>
  <w:style w:type="paragraph" w:styleId="Rodap">
    <w:name w:val="footer"/>
    <w:basedOn w:val="Normal"/>
    <w:qFormat w:val="1"/>
    <w:pPr>
      <w:tabs>
        <w:tab w:val="center" w:pos="4252"/>
        <w:tab w:val="right" w:pos="8504"/>
      </w:tabs>
    </w:pPr>
  </w:style>
  <w:style w:type="paragraph" w:styleId="Textodebalo">
    <w:name w:val="Balloon Text"/>
    <w:basedOn w:val="Normal"/>
    <w:qFormat w:val="1"/>
    <w:rPr>
      <w:rFonts w:ascii="Segoe UI" w:hAnsi="Segoe UI"/>
      <w:sz w:val="18"/>
      <w:szCs w:val="18"/>
    </w:rPr>
  </w:style>
  <w:style w:type="paragraph" w:styleId="Recuodecorpodetexto3">
    <w:name w:val="Body Text Indent 3"/>
    <w:basedOn w:val="Normal"/>
    <w:qFormat w:val="1"/>
    <w:pPr>
      <w:spacing w:after="120"/>
      <w:ind w:left="283"/>
    </w:pPr>
    <w:rPr>
      <w:sz w:val="16"/>
      <w:szCs w:val="16"/>
    </w:rPr>
  </w:style>
  <w:style w:type="paragraph" w:styleId="Default" w:customStyle="1">
    <w:name w:val="Default"/>
    <w:qFormat w:val="1"/>
    <w:pPr>
      <w:spacing w:line="1" w:lineRule="atLeast"/>
      <w:ind w:left="-1"/>
      <w:textAlignment w:val="top"/>
      <w:outlineLvl w:val="0"/>
    </w:pPr>
    <w:rPr>
      <w:rFonts w:ascii="Nyala" w:cs="Nyala" w:eastAsia="Calibri" w:hAnsi="Nyala"/>
      <w:color w:val="000000"/>
      <w:position w:val="-1"/>
      <w:lang w:eastAsia="en-US"/>
    </w:rPr>
  </w:style>
  <w:style w:type="paragraph" w:styleId="PargrafodaLista">
    <w:name w:val="List Paragraph"/>
    <w:basedOn w:val="Normal"/>
    <w:uiPriority w:val="34"/>
    <w:qFormat w:val="1"/>
    <w:rsid w:val="00533166"/>
    <w:pPr>
      <w:widowControl w:val="0"/>
      <w:ind w:left="687" w:firstLine="0"/>
    </w:pPr>
    <w:rPr>
      <w:sz w:val="22"/>
      <w:szCs w:val="22"/>
      <w:lang w:eastAsia="en-US" w:val="pt-PT"/>
    </w:rPr>
  </w:style>
  <w:style w:type="paragraph" w:styleId="TableParagraph" w:customStyle="1">
    <w:name w:val="Table Paragraph"/>
    <w:basedOn w:val="Normal"/>
    <w:uiPriority w:val="1"/>
    <w:qFormat w:val="1"/>
    <w:rsid w:val="00FE766D"/>
    <w:pPr>
      <w:widowControl w:val="0"/>
      <w:ind w:firstLine="0"/>
      <w:jc w:val="center"/>
    </w:pPr>
    <w:rPr>
      <w:rFonts w:ascii="Microsoft Sans Serif" w:cs="Microsoft Sans Serif" w:eastAsia="Microsoft Sans Serif" w:hAnsi="Microsoft Sans Serif"/>
      <w:sz w:val="22"/>
      <w:szCs w:val="22"/>
      <w:lang w:eastAsia="en-US" w:val="pt-PT"/>
    </w:rPr>
  </w:style>
  <w:style w:type="paragraph" w:styleId="Standard" w:customStyle="1">
    <w:name w:val="Standard"/>
    <w:qFormat w:val="1"/>
    <w:rsid w:val="000F5384"/>
    <w:pPr>
      <w:spacing w:line="1" w:lineRule="atLeast"/>
      <w:ind w:left="-1"/>
      <w:textAlignment w:val="top"/>
      <w:outlineLvl w:val="0"/>
    </w:pPr>
  </w:style>
  <w:style w:type="paragraph" w:styleId="Contedodoquadro" w:customStyle="1">
    <w:name w:val="Conteúdo do quadro"/>
    <w:basedOn w:val="Normal"/>
    <w:qFormat w:val="1"/>
  </w:style>
  <w:style w:type="paragraph" w:styleId="Contedodatabela" w:customStyle="1">
    <w:name w:val="Conteúdo da tabela"/>
    <w:basedOn w:val="Normal"/>
    <w:qFormat w:val="1"/>
    <w:pPr>
      <w:widowControl w:val="0"/>
      <w:suppressLineNumbers w:val="1"/>
    </w:pPr>
  </w:style>
  <w:style w:type="paragraph" w:styleId="Ttulodetabela" w:customStyle="1">
    <w:name w:val="Título de tabela"/>
    <w:basedOn w:val="Contedodatabela"/>
    <w:qFormat w:val="1"/>
    <w:pPr>
      <w:jc w:val="center"/>
    </w:pPr>
    <w:rPr>
      <w:b w:val="1"/>
      <w:bCs w:val="1"/>
    </w:r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elacomgrade">
    <w:name w:val="Table Grid"/>
    <w:basedOn w:val="Tabelanormal"/>
    <w:uiPriority w:val="39"/>
    <w:rsid w:val="00C74C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comgrade1" w:customStyle="1">
    <w:name w:val="Tabela com grade1"/>
    <w:basedOn w:val="Tabelanormal"/>
    <w:uiPriority w:val="39"/>
    <w:rsid w:val="00197612"/>
    <w:rPr>
      <w:rFonts w:ascii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6"/>
    <w:tblPr>
      <w:tblStyleRowBandSize w:val="1"/>
      <w:tblStyleColBandSize w:val="1"/>
      <w:tblCellMar>
        <w:top w:w="100.0" w:type="dxa"/>
        <w:left w:w="100.0" w:type="dxa"/>
        <w:bottom w:w="100.0" w:type="dxa"/>
        <w:right w:w="100.0" w:type="dxa"/>
      </w:tblCellMar>
    </w:tblPr>
  </w:style>
  <w:style w:type="table" w:styleId="a0" w:customStyle="1">
    <w:basedOn w:val="TableNormal6"/>
    <w:tblPr>
      <w:tblStyleRowBandSize w:val="1"/>
      <w:tblStyleColBandSize w:val="1"/>
      <w:tblCellMar>
        <w:left w:w="108.0" w:type="dxa"/>
        <w:right w:w="108.0" w:type="dxa"/>
      </w:tblCellMar>
    </w:tblPr>
  </w:style>
  <w:style w:type="table" w:styleId="a1" w:customStyle="1">
    <w:basedOn w:val="TableNormal6"/>
    <w:tblPr>
      <w:tblStyleRowBandSize w:val="1"/>
      <w:tblStyleColBandSize w:val="1"/>
      <w:tblCellMar>
        <w:left w:w="108.0" w:type="dxa"/>
        <w:right w:w="108.0" w:type="dxa"/>
      </w:tblCellMar>
    </w:tblPr>
  </w:style>
  <w:style w:type="table" w:styleId="a2" w:customStyle="1">
    <w:basedOn w:val="TableNormal6"/>
    <w:tblPr>
      <w:tblStyleRowBandSize w:val="1"/>
      <w:tblStyleColBandSize w:val="1"/>
      <w:tblCellMar>
        <w:top w:w="100.0" w:type="dxa"/>
        <w:left w:w="100.0" w:type="dxa"/>
        <w:bottom w:w="100.0" w:type="dxa"/>
        <w:right w:w="100.0" w:type="dxa"/>
      </w:tblCellMar>
    </w:tblPr>
  </w:style>
  <w:style w:type="table" w:styleId="a3" w:customStyle="1">
    <w:basedOn w:val="TableNormal6"/>
    <w:tblPr>
      <w:tblStyleRowBandSize w:val="1"/>
      <w:tblStyleColBandSize w:val="1"/>
      <w:tblCellMar>
        <w:top w:w="100.0" w:type="dxa"/>
        <w:left w:w="100.0" w:type="dxa"/>
        <w:bottom w:w="100.0" w:type="dxa"/>
        <w:right w:w="100.0" w:type="dxa"/>
      </w:tblCellMar>
    </w:tblPr>
  </w:style>
  <w:style w:type="table" w:styleId="a4" w:customStyle="1">
    <w:basedOn w:val="TableNormal6"/>
    <w:tblPr>
      <w:tblStyleRowBandSize w:val="1"/>
      <w:tblStyleColBandSize w:val="1"/>
      <w:tblCellMar>
        <w:top w:w="100.0" w:type="dxa"/>
        <w:left w:w="100.0" w:type="dxa"/>
        <w:bottom w:w="100.0" w:type="dxa"/>
        <w:right w:w="100.0" w:type="dxa"/>
      </w:tblCellMar>
    </w:tblPr>
  </w:style>
  <w:style w:type="table" w:styleId="a5" w:customStyle="1">
    <w:basedOn w:val="TableNormal6"/>
    <w:tblPr>
      <w:tblStyleRowBandSize w:val="1"/>
      <w:tblStyleColBandSize w:val="1"/>
      <w:tblCellMar>
        <w:left w:w="108.0" w:type="dxa"/>
        <w:right w:w="108.0" w:type="dxa"/>
      </w:tblCellMar>
    </w:tblPr>
  </w:style>
  <w:style w:type="table" w:styleId="a6" w:customStyle="1">
    <w:basedOn w:val="TableNormal6"/>
    <w:tblPr>
      <w:tblStyleRowBandSize w:val="1"/>
      <w:tblStyleColBandSize w:val="1"/>
      <w:tblCellMar>
        <w:left w:w="108.0" w:type="dxa"/>
        <w:right w:w="108.0" w:type="dxa"/>
      </w:tblCellMar>
    </w:tblPr>
  </w:style>
  <w:style w:type="table" w:styleId="a7" w:customStyle="1">
    <w:basedOn w:val="TableNormal6"/>
    <w:tblPr>
      <w:tblStyleRowBandSize w:val="1"/>
      <w:tblStyleColBandSize w:val="1"/>
      <w:tblCellMar>
        <w:top w:w="100.0" w:type="dxa"/>
        <w:left w:w="100.0" w:type="dxa"/>
        <w:bottom w:w="100.0" w:type="dxa"/>
        <w:right w:w="100.0" w:type="dxa"/>
      </w:tblCellMar>
    </w:tblPr>
  </w:style>
  <w:style w:type="table" w:styleId="a8" w:customStyle="1">
    <w:basedOn w:val="TableNormal6"/>
    <w:tblPr>
      <w:tblStyleRowBandSize w:val="1"/>
      <w:tblStyleColBandSize w:val="1"/>
      <w:tblCellMar>
        <w:top w:w="100.0" w:type="dxa"/>
        <w:left w:w="100.0" w:type="dxa"/>
        <w:bottom w:w="100.0" w:type="dxa"/>
        <w:right w:w="100.0" w:type="dxa"/>
      </w:tblCellMar>
    </w:tblPr>
  </w:style>
  <w:style w:type="table" w:styleId="a9" w:customStyle="1">
    <w:basedOn w:val="TableNormal6"/>
    <w:tblPr>
      <w:tblStyleRowBandSize w:val="1"/>
      <w:tblStyleColBandSize w:val="1"/>
      <w:tblCellMar>
        <w:left w:w="108.0" w:type="dxa"/>
        <w:right w:w="108.0" w:type="dxa"/>
      </w:tblCellMar>
    </w:tblPr>
  </w:style>
  <w:style w:type="table" w:styleId="aa" w:customStyle="1">
    <w:basedOn w:val="TableNormal6"/>
    <w:tblPr>
      <w:tblStyleRowBandSize w:val="1"/>
      <w:tblStyleColBandSize w:val="1"/>
      <w:tblCellMar>
        <w:top w:w="100.0" w:type="dxa"/>
        <w:left w:w="100.0" w:type="dxa"/>
        <w:bottom w:w="100.0" w:type="dxa"/>
        <w:right w:w="100.0" w:type="dxa"/>
      </w:tblCellMar>
    </w:tblPr>
  </w:style>
  <w:style w:type="table" w:styleId="ab" w:customStyle="1">
    <w:basedOn w:val="TableNormal6"/>
    <w:tblPr>
      <w:tblStyleRowBandSize w:val="1"/>
      <w:tblStyleColBandSize w:val="1"/>
      <w:tblCellMar>
        <w:left w:w="108.0" w:type="dxa"/>
        <w:right w:w="108.0" w:type="dxa"/>
      </w:tblCellMar>
    </w:tblPr>
  </w:style>
  <w:style w:type="table" w:styleId="ac" w:customStyle="1">
    <w:basedOn w:val="TableNormal6"/>
    <w:tblPr>
      <w:tblStyleRowBandSize w:val="1"/>
      <w:tblStyleColBandSize w:val="1"/>
      <w:tblCellMar>
        <w:top w:w="100.0" w:type="dxa"/>
        <w:left w:w="100.0" w:type="dxa"/>
        <w:bottom w:w="100.0" w:type="dxa"/>
        <w:right w:w="100.0" w:type="dxa"/>
      </w:tblCellMar>
    </w:tblPr>
  </w:style>
  <w:style w:type="table" w:styleId="ad" w:customStyle="1">
    <w:basedOn w:val="TableNormal6"/>
    <w:tblPr>
      <w:tblStyleRowBandSize w:val="1"/>
      <w:tblStyleColBandSize w:val="1"/>
      <w:tblCellMar>
        <w:top w:w="100.0" w:type="dxa"/>
        <w:left w:w="100.0" w:type="dxa"/>
        <w:bottom w:w="100.0" w:type="dxa"/>
        <w:right w:w="100.0" w:type="dxa"/>
      </w:tblCellMar>
    </w:tblPr>
  </w:style>
  <w:style w:type="table" w:styleId="ae" w:customStyle="1">
    <w:basedOn w:val="TableNormal6"/>
    <w:tblPr>
      <w:tblStyleRowBandSize w:val="1"/>
      <w:tblStyleColBandSize w:val="1"/>
      <w:tblCellMar>
        <w:top w:w="100.0" w:type="dxa"/>
        <w:left w:w="100.0" w:type="dxa"/>
        <w:bottom w:w="100.0" w:type="dxa"/>
        <w:right w:w="100.0" w:type="dxa"/>
      </w:tblCellMar>
    </w:tblPr>
  </w:style>
  <w:style w:type="table" w:styleId="af" w:customStyle="1">
    <w:basedOn w:val="TableNormal6"/>
    <w:tblPr>
      <w:tblStyleRowBandSize w:val="1"/>
      <w:tblStyleColBandSize w:val="1"/>
    </w:tblPr>
  </w:style>
  <w:style w:type="table" w:styleId="af0" w:customStyle="1">
    <w:basedOn w:val="TableNormal6"/>
    <w:tblPr>
      <w:tblStyleRowBandSize w:val="1"/>
      <w:tblStyleColBandSize w:val="1"/>
    </w:tblPr>
  </w:style>
  <w:style w:type="table" w:styleId="af1" w:customStyle="1">
    <w:basedOn w:val="TableNormal6"/>
    <w:tblPr>
      <w:tblStyleRowBandSize w:val="1"/>
      <w:tblStyleColBandSize w:val="1"/>
      <w:tblCellMar>
        <w:left w:w="108.0" w:type="dxa"/>
        <w:right w:w="108.0" w:type="dxa"/>
      </w:tblCellMar>
    </w:tblPr>
  </w:style>
  <w:style w:type="table" w:styleId="af2" w:customStyle="1">
    <w:basedOn w:val="TableNormal6"/>
    <w:tblPr>
      <w:tblStyleRowBandSize w:val="1"/>
      <w:tblStyleColBandSize w:val="1"/>
    </w:tblPr>
  </w:style>
  <w:style w:type="table" w:styleId="af3" w:customStyle="1">
    <w:basedOn w:val="TableNormal6"/>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CellMar>
        <w:top w:w="0.0" w:type="dxa"/>
        <w:left w:w="0.0" w:type="dxa"/>
        <w:bottom w:w="0.0" w:type="dxa"/>
        <w:right w:w="0.0" w:type="dxa"/>
      </w:tblCellMar>
    </w:tblPr>
  </w:style>
  <w:style w:type="table" w:styleId="af6" w:customStyle="1">
    <w:basedOn w:val="TableNormal1"/>
    <w:tblPr>
      <w:tblStyleRowBandSize w:val="1"/>
      <w:tblStyleColBandSize w:val="1"/>
      <w:tblCellMar>
        <w:top w:w="0.0" w:type="dxa"/>
        <w:left w:w="108.0" w:type="dxa"/>
        <w:bottom w:w="0.0" w:type="dxa"/>
        <w:right w:w="108.0" w:type="dxa"/>
      </w:tblCellMar>
    </w:tblPr>
  </w:style>
  <w:style w:type="table" w:styleId="af7" w:customStyle="1">
    <w:basedOn w:val="TableNormal1"/>
    <w:tblPr>
      <w:tblStyleRowBandSize w:val="1"/>
      <w:tblStyleColBandSize w:val="1"/>
    </w:tblPr>
  </w:style>
  <w:style w:type="table" w:styleId="af8" w:customStyle="1">
    <w:basedOn w:val="TableNormal1"/>
    <w:tblPr>
      <w:tblStyleRowBandSize w:val="1"/>
      <w:tblStyleColBandSize w:val="1"/>
      <w:tblCellMar>
        <w:top w:w="0.0" w:type="dxa"/>
        <w:left w:w="108.0" w:type="dxa"/>
        <w:bottom w:w="0.0" w:type="dxa"/>
        <w:right w:w="108.0" w:type="dxa"/>
      </w:tblCellMar>
    </w:tblPr>
  </w:style>
  <w:style w:type="table" w:styleId="af9" w:customStyle="1">
    <w:basedOn w:val="TableNormal1"/>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br/empresas-e-negocios/pt-br/empreendedor"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planalto.gov.br/ccivil_03/_ato2019-2022/2021/lei/L14133.htm#art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dUmkZCsI523jlxnn9v+aYGE2A==">CgMxLjAyDmguM2Q5OGl6ZXB6cmNzMg5oLmVldm5hZGM5eXk5dzIOaC5sMXdobjExeGJmbncyDmgudDB6a2Ewc25vYngwMg5oLnBjZG03emU5NDdpcDIOaC53Z3NtOGxtcnQ2azI4AHIhMTdRcXFTV05Ta2REVTdTVkhpV2Y0cG5hMXUtUS1hb3hw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2026-01-26T14:10:00Z</dcterms:created>
  <dc:creator>x</dc:creator>
</cp:coreProperties>
</file>