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2">
      <w:pPr>
        <w:spacing w:after="120" w:before="0" w:line="240" w:lineRule="auto"/>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ANÁLISE CRÍTICA DOS ORÇAMENTOS COLETADOS</w:t>
      </w:r>
    </w:p>
    <w:p w:rsidR="00000000" w:rsidDel="00000000" w:rsidP="00000000" w:rsidRDefault="00000000" w:rsidRPr="00000000" w14:paraId="00000003">
      <w:pPr>
        <w:spacing w:after="120" w:before="0" w:line="240" w:lineRule="auto"/>
        <w:jc w:val="cente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04">
      <w:pPr>
        <w:jc w:val="both"/>
        <w:rPr>
          <w:rFonts w:ascii="Arial" w:cs="Arial" w:eastAsia="Arial" w:hAnsi="Arial"/>
        </w:rPr>
      </w:pPr>
      <w:r w:rsidDel="00000000" w:rsidR="00000000" w:rsidRPr="00000000">
        <w:rPr>
          <w:rFonts w:ascii="Arial" w:cs="Arial" w:eastAsia="Arial" w:hAnsi="Arial"/>
          <w:rtl w:val="0"/>
        </w:rPr>
        <w:t xml:space="preserve">Com base no Decreto Municipal de nº 3.537/2023 onde no seu Art.368 trata dos Orçamentos Estimativos para Contratação de Bens e Serviços, temos as seguintes considerações:</w:t>
      </w:r>
    </w:p>
    <w:p w:rsidR="00000000" w:rsidDel="00000000" w:rsidP="00000000" w:rsidRDefault="00000000" w:rsidRPr="00000000" w14:paraId="00000005">
      <w:pPr>
        <w:spacing w:after="0" w:before="0" w:line="240" w:lineRule="auto"/>
        <w:jc w:val="both"/>
        <w:rPr>
          <w:rFonts w:ascii="Nyala" w:cs="Nyala" w:eastAsia="Nyala" w:hAnsi="Nyala"/>
          <w:i w:val="1"/>
          <w:sz w:val="28"/>
          <w:szCs w:val="28"/>
        </w:rPr>
      </w:pPr>
      <w:r w:rsidDel="00000000" w:rsidR="00000000" w:rsidRPr="00000000">
        <w:rPr>
          <w:rFonts w:ascii="Nyala" w:cs="Nyala" w:eastAsia="Nyala" w:hAnsi="Nyala"/>
          <w:i w:val="1"/>
          <w:sz w:val="28"/>
          <w:szCs w:val="28"/>
          <w:rtl w:val="0"/>
        </w:rPr>
        <w:t xml:space="preserve">I - a composição de custos unitários menores ou iguais à mediana do item correspondente no painel para consulta de preços, nos bancos de preços e/ou no Portal Nacional de Contratações Públicas (PNCP):</w:t>
      </w:r>
    </w:p>
    <w:p w:rsidR="00000000" w:rsidDel="00000000" w:rsidP="00000000" w:rsidRDefault="00000000" w:rsidRPr="00000000" w14:paraId="00000006">
      <w:pPr>
        <w:widowControl w:val="1"/>
        <w:spacing w:after="0" w:before="0" w:line="240" w:lineRule="auto"/>
        <w:jc w:val="both"/>
        <w:rPr>
          <w:rFonts w:ascii="Arial" w:cs="Arial" w:eastAsia="Arial" w:hAnsi="Arial"/>
          <w:b w:val="0"/>
          <w:i w:val="0"/>
          <w:smallCaps w:val="0"/>
          <w:sz w:val="22"/>
          <w:szCs w:val="22"/>
        </w:rPr>
      </w:pPr>
      <w:r w:rsidDel="00000000" w:rsidR="00000000" w:rsidRPr="00000000">
        <w:rPr>
          <w:rFonts w:ascii="Arial" w:cs="Arial" w:eastAsia="Arial" w:hAnsi="Arial"/>
          <w:b w:val="0"/>
          <w:i w:val="0"/>
          <w:smallCaps w:val="0"/>
          <w:sz w:val="22"/>
          <w:szCs w:val="22"/>
          <w:rtl w:val="0"/>
        </w:rPr>
        <w:t xml:space="preserve">Realizamos pesquisas no site:</w:t>
      </w:r>
      <w:r w:rsidDel="00000000" w:rsidR="00000000" w:rsidRPr="00000000">
        <w:rPr>
          <w:b w:val="0"/>
          <w:i w:val="0"/>
          <w:smallCaps w:val="0"/>
          <w:sz w:val="22"/>
          <w:szCs w:val="22"/>
          <w:rtl w:val="0"/>
        </w:rPr>
        <w:t xml:space="preserve"> </w:t>
      </w:r>
      <w:r w:rsidDel="00000000" w:rsidR="00000000" w:rsidRPr="00000000">
        <w:rPr>
          <w:rFonts w:ascii="Arial" w:cs="Arial" w:eastAsia="Arial" w:hAnsi="Arial"/>
          <w:b w:val="0"/>
          <w:i w:val="0"/>
          <w:smallCaps w:val="0"/>
          <w:sz w:val="22"/>
          <w:szCs w:val="22"/>
          <w:rtl w:val="0"/>
        </w:rPr>
        <w:t xml:space="preserve">https://paineldeprecos.planejamento.gov.br/analise-materiais, conforme documentos em anexo. Os códigos catmat 617859, 474976, 273697,478482, 462529, 621425, 626982, 601361, 462529, 620556 não confere com o descritivo do produto; Os códigos 447375, 446019, 616001, 616002, 616003, 616004, 616005, 434966, 432836, 338538, 304324, 476011, 476012, 617428, 339800, 466226, 480960, 622428, 447979, 621561, 622090, 462437 estão condizentes ao descritivo de seu respectivo produto; os códigos catmat 263333, 474390, 327796 e 441492 estão corretos os descritivos, porém os valores não serão usados pois ultrapassou 6 meses e os códigos 627001 e 432720, descritivos estão corretos porém não consultou os valores no painel de preço. Foram feitas pesquisas no Portal Nacional de Contratações Públicas (PNCP) para composição dos custos unitários, conforme documentos em anexos.</w:t>
      </w:r>
    </w:p>
    <w:p w:rsidR="00000000" w:rsidDel="00000000" w:rsidP="00000000" w:rsidRDefault="00000000" w:rsidRPr="00000000" w14:paraId="00000007">
      <w:pPr>
        <w:spacing w:after="20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8">
      <w:pPr>
        <w:spacing w:after="0" w:before="0" w:line="240" w:lineRule="auto"/>
        <w:jc w:val="both"/>
        <w:rPr>
          <w:rFonts w:ascii="Nyala" w:cs="Nyala" w:eastAsia="Nyala" w:hAnsi="Nyala"/>
          <w:sz w:val="28"/>
          <w:szCs w:val="28"/>
        </w:rPr>
      </w:pPr>
      <w:r w:rsidDel="00000000" w:rsidR="00000000" w:rsidRPr="00000000">
        <w:rPr>
          <w:rFonts w:ascii="Nyala" w:cs="Nyala" w:eastAsia="Nyala" w:hAnsi="Nyala"/>
          <w:sz w:val="28"/>
          <w:szCs w:val="28"/>
          <w:rtl w:val="0"/>
        </w:rPr>
        <w:t xml:space="preserve">II - </w:t>
      </w:r>
      <w:r w:rsidDel="00000000" w:rsidR="00000000" w:rsidRPr="00000000">
        <w:rPr>
          <w:rFonts w:ascii="Nyala" w:cs="Nyala" w:eastAsia="Nyala" w:hAnsi="Nyala"/>
          <w:i w:val="1"/>
          <w:sz w:val="28"/>
          <w:szCs w:val="28"/>
          <w:rtl w:val="0"/>
        </w:rPr>
        <w:t xml:space="preserve">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r w:rsidDel="00000000" w:rsidR="00000000" w:rsidRPr="00000000">
        <w:rPr>
          <w:rFonts w:ascii="Nyala" w:cs="Nyala" w:eastAsia="Nyala" w:hAnsi="Nyala"/>
          <w:sz w:val="28"/>
          <w:szCs w:val="28"/>
          <w:rtl w:val="0"/>
        </w:rPr>
        <w:t xml:space="preserve">:</w:t>
      </w:r>
    </w:p>
    <w:p w:rsidR="00000000" w:rsidDel="00000000" w:rsidP="00000000" w:rsidRDefault="00000000" w:rsidRPr="00000000" w14:paraId="00000009">
      <w:pPr>
        <w:widowControl w:val="1"/>
        <w:spacing w:after="200" w:before="0" w:line="276" w:lineRule="auto"/>
        <w:ind w:left="0" w:right="0" w:firstLine="0"/>
        <w:jc w:val="both"/>
        <w:rPr>
          <w:rFonts w:ascii="Arial" w:cs="Arial" w:eastAsia="Arial" w:hAnsi="Arial"/>
          <w:b w:val="0"/>
          <w:i w:val="0"/>
          <w:smallCaps w:val="0"/>
          <w:sz w:val="22"/>
          <w:szCs w:val="22"/>
        </w:rPr>
      </w:pPr>
      <w:r w:rsidDel="00000000" w:rsidR="00000000" w:rsidRPr="00000000">
        <w:rPr>
          <w:rFonts w:ascii="Arial" w:cs="Arial" w:eastAsia="Arial" w:hAnsi="Arial"/>
          <w:b w:val="0"/>
          <w:i w:val="0"/>
          <w:smallCaps w:val="0"/>
          <w:sz w:val="22"/>
          <w:szCs w:val="22"/>
          <w:rtl w:val="0"/>
        </w:rPr>
        <w:t xml:space="preserve">Realizamos pesquisas em processos homologados pela Administração Pública, onde encontramos: Dispensa1237/2025 - Requisição de compras 487/2025 Prefeitura do Município de Leme SP de 21/02/2025; Contrato 284/2024 Prefeitura da Cidade de Almirante Tamandaré de 17/12/2024; Contrato 2025.02.14.001-01 Município de Massapê de 21/02/2025; Contrato 052/2025 Pregão Eletrônico 013/2025 Município de Presidente Lucena RS de 24/03/2025; Ata de Registro de Preços 002 C/2025 Pregão Eletrônico 002/2025 Prefeitura Santa Rita do Sapucaí MG de 19/03/2025; Contrato 15/2025 Dispensa 11/2025 Câmara Municipal de Trizidela do Vale MA de 17/03/2025; Contrato 2025/03.20.02 Prefeitura Ouricuri PE de 20/03/2025; Ata de Registro de Preços 003/2025 Município de Planalto RS de 06/02/2025; Contrato 041/2025 Dispensa 009/2025 Gabinete Civil do Prefeito Município de Jucurutu RN de 17/03/2025; Contrato 07.25.01.13.001 Prefeitura de Maranguape CE de13/01/2025; Ata de Registro de Preços 162/2025 Pregão Eletrônico 35/2025 Agência de Licitações, contratos e convênios de Maceió de 02/04/2025; Ata de Registro de Preços 063/2024 Pregão Eletrônico 101/2024 Pregão Eletrônico 101/2024 Prefeitura Municipal de Louveira SP de 13/12/2024; Ata de Registro de Preços 411/2024 Pregão Eletrônico 063/2024 Prefeitura de Mogi das Cruzes SP de 13/11/2024; Ata de Registro de Preços 171/2024 Pregão Eletrônico 66/2024 Prefeitura Municipal Cunha SP de 9/12/2024; Ata de Registro de Preços 048411/2024 - SF06 Pregão Eletrônico 90273/2024 Prefeitura de Guarulhos SP de 12/11/2024; Ata de Registro de Preços 012/2025 Prefeitura Municipal de Bom Sucesso MG de 05/02/2025; Ata de Registro de Preços 132/2024 Pregão Eletrônico 038/2024 Município de Padre Paraíso MG de 28/11/2024; Termo de Adjudicação e Homologação Município de Morrinhos GO de 26/03/2025; Contrato 05.25.04.11.001 Pregão Eletrônico 05.004/2025PE Prefeitura Maranguape CE de 11/04/2025; Contrato 054/2024 Pregão Eletrônico 005/2024 Município de Nazareno MG de 02/05/2025; Contrato 053/2024 Pregão Eletrônico 005/2024 Município de Nazareno MG de 02/05/2025; Contrato 053/2024 Pregão Eletrônico 005/2024 Município de Nazareno MG de 02/05/2025; Ata de Registro de Preços 312/2024 Pregão Eletrônico 69/2024 Prefeitura Municipal de São Miguel do Oeste SC de 02/09/2024; Ata de Registro de Preços 44/2024 Município de Santa Helena SC de 19/11/2024; Ata de Registro de Preços 01/2025 Fundação Universidade Federal de São Carlos de 21/03/2025; Ata de Registro de Preços 03/2025 Fundação Universidade Federal de São Carlos de 25/03/2025; Ata de Registro de Preços 155/2024 Pregão Eletrônico 56/2024 Prefeitura Municipal de Campos Novos SC de 11/12/2024; Termo de Homologação Pregão Eletrônico 21/2024 Prefeitura Municipal de Riachão MA de 24/10/2024; Termo de Homologação Pregão Eletrônico 109/2024 Prefeitura Municipal de Capão da Canoa RS de 31/7/2024; Ata de Registro de Preços 040/2024 Prefeitura Municipal de Governador Lindenberg ES de 11/12/2024; Ata de Registro de Preços 155/2024 Pregão Eletrônico 56/2024 Prefeitura Municipal de Campos Novos SC de 11/12/2024; Ata Final Dispensa 22612/2024 Prefeitura Municipal de Paraiso do Tocantins de 16/12/2024; Ata de Registro de Preços 398/2024 Pregão Eletrônico 112/2024 Prefeitura Municipal de Campo Novo do Parecis MT de 22/11/2024; Termo de Homologação Pregão Eletrônico 136/2024 Prefeitura Municipal de Santo Antônio do Monte MG de 19/12/2024; Ata de Registro de Preços 262/2024 Pregão Eletrônico 035/2024 Prefeitura Municipal de Jequitinhonha MG de 23/9/2024; Contrato 130/2024 Pregão Eletrônico 007/2024 Prefeitura Municipal de Chapada Gaúcha MG de 01/08/2024; Contrato 133/2024 Pregão Eletrônico 007/2024 Prefeitura Municipal de Chapada Gaúcha MG de 01/08/2024; Ata de Registro de Preços Pregão Eletrônico 075/2024 Cidade de Tarumã SP de 14/11/2024; Ata de Registro de Preços 19-I Pregão 8/2024 Prefeitura de Amparo do Serra MG de 15/10/2024; Ata de Registro de Preços Pregão Eletrônico 110/2024 Prefeitura da Estância Turística de Batatais SP; Ata de Registro de Preços Pregão Eletrônico 012/2024 Prefeitura Municipal de Matões do Norte MA de 26/6/2024; Ata de Registro de Preços 20240589/2024 Pregão Eletrônico 019/2024 Prefeitura Municipal de Matões do Norte MA de 19/08/2024; Ata de Registro de Preços 122/2024 Pregão Eletrônico 034/2024 Prefeitura Municipal de Estação RS de 12/03/2025; Ata de Registro de Preços 05/2025 Fundação Universidade Federal de São Carlos de 31/03/2025; Contrato 20250106 Prefeitura Municipal de Dom Eliseu PA de 31/01/2025; Contrato 20250105 Prefeitura Municipal de Dom Eliseu PA de 31/01/2025; Contrato 20250104 Prefeitura Municipal de Dom Eliseu PA de 31/01/2025; Contrato 018/2025 Município de Renascença PR de 19/03/2025; Contrato 161/2024/2024 SEMED Prefeitura Municipal de São Luis MA de 30/12/2024; Ata de Realização da Compra Direta Eletrônica Governo do Estado de Mato Grosso do Sul de 18/03/2025; Ata de Realização do Pregão Eletrônico - Pregão Eletrônico 06/2025 Compras BR de 31/03/2025; Contrato 86/2025 Prefeitura de Itu SP de 07/03/2025; Contrato 12/2025 Pregão Eletrônico 02/2025 Município de Mirandópolis SP de 20/03/2025; Contrato 010/2025 Prefeitura Municipal de Ituiutaba MG de 12/12/2024; Ata de Registro de Preços 09 Pregão Eletrônico 002/2025 Município de Ibiá MG de 21/02/2025; Ata de Registro de Preços 03 Pregão Eletrônico 002/2025 Município de Ibiá MG de 19/02/2025; Ata de Registro de Preços 007/2025 Pregão Presencial 02/2025 Prefeitura Municipal de Novo Horizonte do Sul MS de 27/02/2025; Ata de Registro de Preços 00001/2025 Prefeitura de Surubim PE de 19/02/2025; Contrato 15/2025 Dispensa 01/2025 Prefeitura de Boituva SP de 10/03/2025; Contrato 86/2025 Prefeitura de Itu SP de 07/03/2025; Contrato 90/2025 Prefeitura de Itu SP de 07/03/2025; Pregão Eletrônico 020/2025 Município de Aracaju SE de 28/02/2025; Contrato 51/2025 Dispensa 37/2025 Prefeitura Municipal de Sagrada Família RS de 10/04/2025; Ata de Registro de Preços Pregão Eletrônico 110/2024 Prefeitura Municipal de Batatais SP; Contrato 041/2025 SEMED Pregão Eletrônico PE-001 SEMED/2025 Prefeitura Municipal de Oriximiná PA de 28/02/2025; Ata de Registro de Preços 001/2025 Pregão Eletrônico 002/2025 Município de Conselheiro Lafaiete MG de 26/03/2025; Ata de Registro de Preços 02/2025 Instituto Estadual de Educação Profissional e Tecnológica IEPTEC de 09/01/2025; Dispensa 3/2025 Secretaria de Estado de Educação do Mato Grosso do Sul de 18/03/2025; Ata de Registro de Preços 018/2023 Pregão Eletrônico 017/2023 SRP Prefeitura Municipal de Luzilândia PI de 26/09/2024; Pregão Eletrônico 64/2024/2024 Município de Sidrolândia MS de 26/09/2024; Contrato 00549/2024-CPL Dispensa DV00073/2024 Prefeitura Municipal de Guarabira PA de 11/10/2024; Ata de Registro de Preço 007/2025 Prefeitura de Campo Mourão PR de 27/02/2025; Ata de Registro de Preços 042/2024 Prefeitura Municipal de Governador Lindemberg ES de 11/12/2024; Contrato 2024.12.09.01 Prefeitura Municipal de Santa Izabel do Pará DE 09/12/2024; Ata de Registro de Preços 8/2025 Pregão Eletrônico RP 165/2024 Município de Dois Irmãos RS de 14/01/2025.</w:t>
      </w:r>
    </w:p>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Observa-se que utilizamos somente os itens com os mesmos descritivos, conforme documento em anexo. </w:t>
      </w:r>
    </w:p>
    <w:p w:rsidR="00000000" w:rsidDel="00000000" w:rsidP="00000000" w:rsidRDefault="00000000" w:rsidRPr="00000000" w14:paraId="0000000B">
      <w:pPr>
        <w:spacing w:after="0" w:before="0" w:line="240" w:lineRule="auto"/>
        <w:jc w:val="both"/>
        <w:rPr>
          <w:rFonts w:ascii="Nyala" w:cs="Nyala" w:eastAsia="Nyala" w:hAnsi="Nyala"/>
          <w:sz w:val="28"/>
          <w:szCs w:val="28"/>
        </w:rPr>
      </w:pPr>
      <w:r w:rsidDel="00000000" w:rsidR="00000000" w:rsidRPr="00000000">
        <w:rPr>
          <w:rFonts w:ascii="Nyala" w:cs="Nyala" w:eastAsia="Nyala" w:hAnsi="Nyala"/>
          <w:sz w:val="28"/>
          <w:szCs w:val="28"/>
          <w:rtl w:val="0"/>
        </w:rPr>
        <w:t xml:space="preserve">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rsidR="00000000" w:rsidDel="00000000" w:rsidP="00000000" w:rsidRDefault="00000000" w:rsidRPr="00000000" w14:paraId="0000000C">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D">
      <w:pPr>
        <w:widowControl w:val="1"/>
        <w:spacing w:after="0" w:before="0" w:line="240" w:lineRule="auto"/>
        <w:ind w:left="0" w:right="0" w:firstLine="0"/>
        <w:jc w:val="both"/>
        <w:rPr>
          <w:rFonts w:ascii="Arial" w:cs="Arial" w:eastAsia="Arial" w:hAnsi="Arial"/>
          <w:b w:val="0"/>
          <w:i w:val="0"/>
          <w:smallCaps w:val="0"/>
          <w:strike w:val="0"/>
          <w:color w:val="000000"/>
          <w:sz w:val="22"/>
          <w:szCs w:val="22"/>
          <w:u w:val="none"/>
        </w:rPr>
      </w:pPr>
      <w:r w:rsidDel="00000000" w:rsidR="00000000" w:rsidRPr="00000000">
        <w:rPr>
          <w:rFonts w:ascii="Arial" w:cs="Arial" w:eastAsia="Arial" w:hAnsi="Arial"/>
          <w:b w:val="0"/>
          <w:i w:val="0"/>
          <w:smallCaps w:val="0"/>
          <w:strike w:val="0"/>
          <w:color w:val="000000"/>
          <w:sz w:val="22"/>
          <w:szCs w:val="22"/>
          <w:u w:val="none"/>
          <w:rtl w:val="0"/>
        </w:rPr>
        <w:t xml:space="preserve">Foram realizadas pesquisas nos sítios eletrônicos de domínio amplo, contendo data e hora do acesso, conforme documentos em anexo.</w:t>
      </w:r>
    </w:p>
    <w:p w:rsidR="00000000" w:rsidDel="00000000" w:rsidP="00000000" w:rsidRDefault="00000000" w:rsidRPr="00000000" w14:paraId="0000000E">
      <w:pPr>
        <w:widowControl w:val="1"/>
        <w:spacing w:after="0" w:before="0" w:line="240" w:lineRule="auto"/>
        <w:jc w:val="both"/>
        <w:rPr/>
      </w:pPr>
      <w:r w:rsidDel="00000000" w:rsidR="00000000" w:rsidRPr="00000000">
        <w:rPr>
          <w:rFonts w:ascii="Arial" w:cs="Arial" w:eastAsia="Arial" w:hAnsi="Arial"/>
          <w:b w:val="0"/>
          <w:i w:val="0"/>
          <w:smallCaps w:val="0"/>
          <w:strike w:val="0"/>
          <w:color w:val="000000"/>
          <w:sz w:val="22"/>
          <w:szCs w:val="22"/>
          <w:u w:val="none"/>
          <w:rtl w:val="0"/>
        </w:rPr>
        <w:t xml:space="preserve"> </w:t>
      </w:r>
      <w:r w:rsidDel="00000000" w:rsidR="00000000" w:rsidRPr="00000000">
        <w:rPr>
          <w:rtl w:val="0"/>
        </w:rPr>
      </w:r>
    </w:p>
    <w:p w:rsidR="00000000" w:rsidDel="00000000" w:rsidP="00000000" w:rsidRDefault="00000000" w:rsidRPr="00000000" w14:paraId="0000000F">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before="0" w:line="240" w:lineRule="auto"/>
        <w:jc w:val="both"/>
        <w:rPr>
          <w:rFonts w:ascii="Nyala" w:cs="Nyala" w:eastAsia="Nyala" w:hAnsi="Nyala"/>
          <w:sz w:val="28"/>
          <w:szCs w:val="28"/>
        </w:rPr>
      </w:pPr>
      <w:r w:rsidDel="00000000" w:rsidR="00000000" w:rsidRPr="00000000">
        <w:rPr>
          <w:rFonts w:ascii="Nyala" w:cs="Nyala" w:eastAsia="Nyala" w:hAnsi="Nyala"/>
          <w:sz w:val="28"/>
          <w:szCs w:val="28"/>
          <w:rtl w:val="0"/>
        </w:rPr>
        <w:t xml:space="preserve">IV - a pesquisa direta com no mínimo 03 (três) fornecedores ou prestadores de serviços, conforme o caso, desde que seja apresentada justificativa da escolha desses fornecedores;</w:t>
      </w:r>
    </w:p>
    <w:p w:rsidR="00000000" w:rsidDel="00000000" w:rsidP="00000000" w:rsidRDefault="00000000" w:rsidRPr="00000000" w14:paraId="00000011">
      <w:pPr>
        <w:spacing w:after="0" w:before="0" w:line="240" w:lineRule="auto"/>
        <w:ind w:left="0" w:right="0" w:firstLine="0"/>
        <w:jc w:val="both"/>
        <w:rPr>
          <w:rFonts w:ascii="Arial" w:cs="Arial" w:eastAsia="Arial" w:hAnsi="Arial"/>
          <w:b w:val="0"/>
          <w:i w:val="0"/>
          <w:smallCaps w:val="0"/>
          <w:color w:val="000000"/>
          <w:sz w:val="22"/>
          <w:szCs w:val="22"/>
        </w:rPr>
      </w:pPr>
      <w:r w:rsidDel="00000000" w:rsidR="00000000" w:rsidRPr="00000000">
        <w:rPr>
          <w:rFonts w:ascii="Arial" w:cs="Arial" w:eastAsia="Arial" w:hAnsi="Arial"/>
          <w:b w:val="0"/>
          <w:i w:val="0"/>
          <w:smallCaps w:val="0"/>
          <w:color w:val="000000"/>
          <w:sz w:val="22"/>
          <w:szCs w:val="22"/>
          <w:rtl w:val="0"/>
        </w:rPr>
        <w:t xml:space="preserve">Informamos que encaminhamos a solicitação de orçamento para as empresas, onde obtivemos retorno das empresas: ALICE FERREIRA-ME DE CNPJ 26.264.278/0001-89, RIFER COMERCIO DE MOVEIS E BRINQUEDOS LTDA DE CNPJ 57.581.592/0001-08, NÁTALI BRINK DE CNPJ 08.287.175/0001-33, EDUARDO RAVAGNANI DE CNPJ 09.528.971/0001-83, TH RODRIGUES E CIA LTDA DE CNPJ 10.144.555/0003-22, VALE SUPERMERCADO DE CNPJ 02.088.911/0001-48, QUINA E MACHADO DE CNPJ 09.053.999/0001-01, CARLOS EDUARDO DE SOUZA BORGES DE CNPJ 07.067.855/0001-89, somente o item 23 bola em vinil não possui 3 orçamentos, segue e-mails enviados em anexo, porém sem respostas. Informamos ainda que as empresas aos quais entramos em contato solicitando orçamento, são empresas que são do ramo do objeto demandado e são empresas que possuímos histórico de solicitações anteriores.</w:t>
      </w:r>
    </w:p>
    <w:p w:rsidR="00000000" w:rsidDel="00000000" w:rsidP="00000000" w:rsidRDefault="00000000" w:rsidRPr="00000000" w14:paraId="00000012">
      <w:pPr>
        <w:spacing w:after="0" w:before="0" w:line="240" w:lineRule="auto"/>
        <w:ind w:left="0" w:right="0" w:firstLine="0"/>
        <w:jc w:val="both"/>
        <w:rPr>
          <w:rFonts w:ascii="Arial" w:cs="Arial" w:eastAsia="Arial" w:hAnsi="Arial"/>
          <w:b w:val="0"/>
          <w:i w:val="0"/>
          <w:smallCaps w:val="0"/>
          <w:color w:val="000000"/>
          <w:sz w:val="22"/>
          <w:szCs w:val="22"/>
        </w:rPr>
      </w:pPr>
      <w:r w:rsidDel="00000000" w:rsidR="00000000" w:rsidRPr="00000000">
        <w:rPr>
          <w:rtl w:val="0"/>
        </w:rPr>
      </w:r>
    </w:p>
    <w:p w:rsidR="00000000" w:rsidDel="00000000" w:rsidP="00000000" w:rsidRDefault="00000000" w:rsidRPr="00000000" w14:paraId="00000013">
      <w:pPr>
        <w:spacing w:after="6" w:before="220" w:line="264" w:lineRule="auto"/>
        <w:ind w:left="17" w:right="51" w:hanging="11"/>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**Nota-se que, considerando a necessidade de composição da pesquisa de preços para a instrução do processo licitatório, informamos que foram utilizados os orçamentos de </w:t>
      </w:r>
      <w:r w:rsidDel="00000000" w:rsidR="00000000" w:rsidRPr="00000000">
        <w:rPr>
          <w:rFonts w:ascii="Arial" w:cs="Arial" w:eastAsia="Arial" w:hAnsi="Arial"/>
          <w:b w:val="0"/>
          <w:i w:val="0"/>
          <w:smallCaps w:val="0"/>
          <w:color w:val="000000"/>
          <w:sz w:val="22"/>
          <w:szCs w:val="22"/>
          <w:rtl w:val="0"/>
        </w:rPr>
        <w:t xml:space="preserve">ALICE FERREIRA-ME DE CNPJ 26.264.278/0001-89, RIFER COMERCIO DE MOVEIS E BRINQUEDOS LTDA DE CNPJ 57.581.592/0001-08, NÁTALI BRINK DE CNPJ 08.287.175/0001-33, TH RODRIGUES E CIA LTDA DE CNPJ 10.144.555/0003-22</w:t>
      </w:r>
      <w:r w:rsidDel="00000000" w:rsidR="00000000" w:rsidRPr="00000000">
        <w:rPr>
          <w:rFonts w:ascii="Arial" w:cs="Arial" w:eastAsia="Arial" w:hAnsi="Arial"/>
          <w:color w:val="000000"/>
          <w:sz w:val="22"/>
          <w:szCs w:val="22"/>
          <w:rtl w:val="0"/>
        </w:rPr>
        <w:t xml:space="preserve">, cujo prazos de validade informados no orçamento, conforme especificações, encontram-se vencidos. No entanto essa utilização está em conformidade com o disposto no art.368, inciso IV, §2º do Decreto 3.573/2023, o qual estabelece os documentos comprobatórios para composição da pesquisa de preços devem ter sidos emitidos nos seis meses anteriores à data da pesquisa, salvo justificativa fundamentada.</w:t>
      </w:r>
    </w:p>
    <w:p w:rsidR="00000000" w:rsidDel="00000000" w:rsidP="00000000" w:rsidRDefault="00000000" w:rsidRPr="00000000" w14:paraId="00000014">
      <w:pPr>
        <w:spacing w:after="6" w:before="220" w:line="264" w:lineRule="auto"/>
        <w:ind w:left="17" w:right="51" w:hanging="11"/>
        <w:jc w:val="both"/>
        <w:rPr/>
      </w:pPr>
      <w:r w:rsidDel="00000000" w:rsidR="00000000" w:rsidRPr="00000000">
        <w:rPr>
          <w:rFonts w:ascii="Arial" w:cs="Arial" w:eastAsia="Arial" w:hAnsi="Arial"/>
          <w:color w:val="000000"/>
          <w:sz w:val="22"/>
          <w:szCs w:val="22"/>
          <w:rtl w:val="0"/>
        </w:rPr>
        <w:t xml:space="preserve">Dessa forma embora os orçamentos utilizados apresentam prazos internos de validade expirados, eles ainda se enquadram no prazo legal de seis meses estabelecido pela norma e, portanto, são considerados válidos para compor a pesquisa de preços.</w:t>
      </w:r>
      <w:r w:rsidDel="00000000" w:rsidR="00000000" w:rsidRPr="00000000">
        <w:rPr>
          <w:rtl w:val="0"/>
        </w:rPr>
      </w:r>
    </w:p>
    <w:p w:rsidR="00000000" w:rsidDel="00000000" w:rsidP="00000000" w:rsidRDefault="00000000" w:rsidRPr="00000000" w14:paraId="00000015">
      <w:pPr>
        <w:spacing w:after="238" w:before="238" w:line="276" w:lineRule="auto"/>
        <w:ind w:left="34" w:right="68" w:hanging="11"/>
        <w:jc w:val="both"/>
        <w:rPr/>
      </w:pPr>
      <w:r w:rsidDel="00000000" w:rsidR="00000000" w:rsidRPr="00000000">
        <w:rPr>
          <w:rFonts w:ascii="Arial" w:cs="Arial" w:eastAsia="Arial" w:hAnsi="Arial"/>
          <w:color w:val="000000"/>
          <w:sz w:val="22"/>
          <w:szCs w:val="22"/>
          <w:rtl w:val="0"/>
        </w:rPr>
        <w:t xml:space="preserve">Além disso, cabe destacar que a expiração do prazo interno de validade informado pelo fornecedor refere-se apenas à vigência da proposta comercial para efeitos de fechamento imediato da compra, não afetando a composição da pesquisa de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0"/>
          <w:color w:val="000000"/>
          <w:sz w:val="22"/>
          <w:szCs w:val="22"/>
          <w:rtl w:val="0"/>
        </w:rPr>
        <w:t xml:space="preserve">preços. A pesquisa tem como objetivo estimar o valor de mercado do objeto a ser contratado, e os preços obtidos refletem a realidade praticada dentro do período permitido pela norma, garantindo a regularidade do procedimento.</w:t>
      </w:r>
      <w:r w:rsidDel="00000000" w:rsidR="00000000" w:rsidRPr="00000000">
        <w:rPr>
          <w:rtl w:val="0"/>
        </w:rPr>
      </w:r>
    </w:p>
    <w:p w:rsidR="00000000" w:rsidDel="00000000" w:rsidP="00000000" w:rsidRDefault="00000000" w:rsidRPr="00000000" w14:paraId="00000016">
      <w:pPr>
        <w:spacing w:after="238" w:before="238" w:line="276" w:lineRule="auto"/>
        <w:ind w:left="34" w:right="68" w:hanging="11"/>
        <w:jc w:val="both"/>
        <w:rPr/>
      </w:pPr>
      <w:r w:rsidDel="00000000" w:rsidR="00000000" w:rsidRPr="00000000">
        <w:rPr>
          <w:rFonts w:ascii="Arial" w:cs="Arial" w:eastAsia="Arial" w:hAnsi="Arial"/>
          <w:color w:val="000000"/>
          <w:sz w:val="22"/>
          <w:szCs w:val="22"/>
          <w:rtl w:val="0"/>
        </w:rPr>
        <w:t xml:space="preserve">Adicionalmente, vale ressaltar que a competitividade de determinado licitatório garantirá que os preços finais oferecidos pelos participantes sejam atualizados conforme a realidade do mercado no momento da contratação, reforçando a economicidade e a vantagem da aquisição para a Administração Pública.</w:t>
      </w:r>
      <w:r w:rsidDel="00000000" w:rsidR="00000000" w:rsidRPr="00000000">
        <w:rPr>
          <w:rtl w:val="0"/>
        </w:rPr>
      </w:r>
    </w:p>
    <w:p w:rsidR="00000000" w:rsidDel="00000000" w:rsidP="00000000" w:rsidRDefault="00000000" w:rsidRPr="00000000" w14:paraId="00000017">
      <w:pPr>
        <w:spacing w:after="238" w:before="238" w:line="276" w:lineRule="auto"/>
        <w:ind w:left="34" w:right="68" w:hanging="11"/>
        <w:jc w:val="both"/>
        <w:rPr/>
      </w:pPr>
      <w:r w:rsidDel="00000000" w:rsidR="00000000" w:rsidRPr="00000000">
        <w:rPr>
          <w:rFonts w:ascii="Arial" w:cs="Arial" w:eastAsia="Arial" w:hAnsi="Arial"/>
          <w:color w:val="000000"/>
          <w:sz w:val="22"/>
          <w:szCs w:val="22"/>
          <w:rtl w:val="0"/>
        </w:rPr>
        <w:t xml:space="preserve">Dessa forma, considerando que os orçamentos específicos respeitam o prazo previsto na legislação vigente e que a sua validade interna não compromete a fidedignidade dos valores estimados, não há qualquer impacto negativo na composição da pesquisa de preços, garantindo-se a transparência e a legalidade do processo.</w:t>
      </w:r>
      <w:r w:rsidDel="00000000" w:rsidR="00000000" w:rsidRPr="00000000">
        <w:rPr>
          <w:rtl w:val="0"/>
        </w:rPr>
      </w:r>
    </w:p>
    <w:p w:rsidR="00000000" w:rsidDel="00000000" w:rsidP="00000000" w:rsidRDefault="00000000" w:rsidRPr="00000000" w14:paraId="00000018">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spacing w:after="0" w:before="0" w:line="240" w:lineRule="auto"/>
        <w:jc w:val="both"/>
        <w:rPr>
          <w:rFonts w:ascii="Nyala" w:cs="Nyala" w:eastAsia="Nyala" w:hAnsi="Nyala"/>
          <w:sz w:val="28"/>
          <w:szCs w:val="28"/>
        </w:rPr>
      </w:pPr>
      <w:r w:rsidDel="00000000" w:rsidR="00000000" w:rsidRPr="00000000">
        <w:rPr>
          <w:rFonts w:ascii="Nyala" w:cs="Nyala" w:eastAsia="Nyala" w:hAnsi="Nyala"/>
          <w:sz w:val="28"/>
          <w:szCs w:val="28"/>
          <w:rtl w:val="0"/>
        </w:rPr>
        <w:t xml:space="preserve">V - a pesquisa na base nacional de notas fiscais eletrônicas ou no aplicativo Notas Paraná;</w:t>
      </w:r>
    </w:p>
    <w:p w:rsidR="00000000" w:rsidDel="00000000" w:rsidP="00000000" w:rsidRDefault="00000000" w:rsidRPr="00000000" w14:paraId="0000001A">
      <w:pP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Foram realizadas as pesquisas no site (</w:t>
      </w:r>
      <w:hyperlink r:id="rId7">
        <w:r w:rsidDel="00000000" w:rsidR="00000000" w:rsidRPr="00000000">
          <w:rPr>
            <w:rFonts w:ascii="Arial" w:cs="Arial" w:eastAsia="Arial" w:hAnsi="Arial"/>
            <w:color w:val="0000ff"/>
            <w:u w:val="single"/>
            <w:rtl w:val="0"/>
          </w:rPr>
          <w:t xml:space="preserve">http://www.notaparana.pr.gov.br</w:t>
        </w:r>
      </w:hyperlink>
      <w:r w:rsidDel="00000000" w:rsidR="00000000" w:rsidRPr="00000000">
        <w:rPr>
          <w:rFonts w:ascii="Arial" w:cs="Arial" w:eastAsia="Arial" w:hAnsi="Arial"/>
          <w:rtl w:val="0"/>
        </w:rPr>
        <w:t xml:space="preserve">), porém de alguns produtos não puxou valores, conforme documentos em anexo.</w:t>
      </w:r>
    </w:p>
    <w:p w:rsidR="00000000" w:rsidDel="00000000" w:rsidP="00000000" w:rsidRDefault="00000000" w:rsidRPr="00000000" w14:paraId="0000001B">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C">
      <w:pPr>
        <w:spacing w:after="0" w:before="0" w:line="240" w:lineRule="auto"/>
        <w:jc w:val="both"/>
        <w:rPr>
          <w:rFonts w:ascii="Nyala" w:cs="Nyala" w:eastAsia="Nyala" w:hAnsi="Nyala"/>
          <w:sz w:val="28"/>
          <w:szCs w:val="28"/>
        </w:rPr>
      </w:pPr>
      <w:r w:rsidDel="00000000" w:rsidR="00000000" w:rsidRPr="00000000">
        <w:rPr>
          <w:rFonts w:ascii="Nyala" w:cs="Nyala" w:eastAsia="Nyala" w:hAnsi="Nyala"/>
          <w:sz w:val="28"/>
          <w:szCs w:val="28"/>
          <w:rtl w:val="0"/>
        </w:rPr>
        <w:t xml:space="preserve">VI - os preços de tabelas oficiais:</w:t>
      </w:r>
    </w:p>
    <w:p w:rsidR="00000000" w:rsidDel="00000000" w:rsidP="00000000" w:rsidRDefault="00000000" w:rsidRPr="00000000" w14:paraId="0000001D">
      <w:pPr>
        <w:spacing w:after="0" w:before="0" w:line="240" w:lineRule="auto"/>
        <w:jc w:val="both"/>
        <w:rPr>
          <w:rFonts w:ascii="Arial" w:cs="Arial" w:eastAsia="Arial" w:hAnsi="Arial"/>
        </w:rPr>
      </w:pPr>
      <w:r w:rsidDel="00000000" w:rsidR="00000000" w:rsidRPr="00000000">
        <w:rPr>
          <w:rFonts w:ascii="Arial" w:cs="Arial" w:eastAsia="Arial" w:hAnsi="Arial"/>
          <w:rtl w:val="0"/>
        </w:rPr>
        <w:t xml:space="preserve">Não foram realizadas pesquisas em tabelas com valores oficiais para este objeto. </w:t>
      </w:r>
    </w:p>
    <w:p w:rsidR="00000000" w:rsidDel="00000000" w:rsidP="00000000" w:rsidRDefault="00000000" w:rsidRPr="00000000" w14:paraId="0000001E">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Desta forma, ao realizar uma análise dos orçamentos retidos e das pesquisas realizadas conforme os anexos, demonstramos nosso compromisso com a transparência e a integridade nos processos de contratação pública. A avaliação imparcial e objetiva das propostas recebidas contribui para garantir que as decisões de contratação sejam baseadas em critérios justos e transparentes, evitando favoritismo ou práticas antiéticas. </w:t>
      </w:r>
    </w:p>
    <w:p w:rsidR="00000000" w:rsidDel="00000000" w:rsidP="00000000" w:rsidRDefault="00000000" w:rsidRPr="00000000" w14:paraId="00000020">
      <w:pPr>
        <w:pStyle w:val="Heading1"/>
        <w:ind w:left="-108" w:right="0" w:firstLine="0"/>
        <w:jc w:val="right"/>
        <w:rPr>
          <w:rFonts w:ascii="Arial" w:cs="Arial" w:eastAsia="Arial" w:hAnsi="Arial"/>
          <w:b w:val="0"/>
          <w:sz w:val="22"/>
          <w:szCs w:val="22"/>
        </w:rPr>
      </w:pPr>
      <w:bookmarkStart w:colFirst="0" w:colLast="0" w:name="_heading=h.si6o3y1tfzxn" w:id="0"/>
      <w:bookmarkEnd w:id="0"/>
      <w:r w:rsidDel="00000000" w:rsidR="00000000" w:rsidRPr="00000000">
        <w:rPr>
          <w:rFonts w:ascii="Arial" w:cs="Arial" w:eastAsia="Arial" w:hAnsi="Arial"/>
          <w:b w:val="0"/>
          <w:sz w:val="22"/>
          <w:szCs w:val="22"/>
          <w:rtl w:val="0"/>
        </w:rPr>
        <w:t xml:space="preserve">Bandeirantes, 23 de maio de 2025.</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spacing w:after="120" w:before="0" w:line="240" w:lineRule="auto"/>
        <w:ind w:left="0" w:firstLine="0"/>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3">
      <w:pPr>
        <w:spacing w:after="120" w:before="0" w:line="240" w:lineRule="auto"/>
        <w:ind w:left="0" w:firstLine="0"/>
        <w:rPr>
          <w:rFonts w:ascii="Arial" w:cs="Arial" w:eastAsia="Arial" w:hAnsi="Arial"/>
        </w:rPr>
      </w:pPr>
      <w:r w:rsidDel="00000000" w:rsidR="00000000" w:rsidRPr="00000000">
        <w:rPr>
          <w:rFonts w:ascii="Arial" w:cs="Arial" w:eastAsia="Arial" w:hAnsi="Arial"/>
          <w:rtl w:val="0"/>
        </w:rPr>
        <w:t xml:space="preserve">                                             _____________________________</w:t>
      </w:r>
    </w:p>
    <w:p w:rsidR="00000000" w:rsidDel="00000000" w:rsidP="00000000" w:rsidRDefault="00000000" w:rsidRPr="00000000" w14:paraId="00000024">
      <w:pPr>
        <w:spacing w:after="0" w:before="0" w:lineRule="auto"/>
        <w:ind w:left="0" w:right="-426" w:hanging="1"/>
        <w:jc w:val="center"/>
        <w:rPr>
          <w:rFonts w:ascii="Times New Roman" w:cs="Times New Roman" w:eastAsia="Times New Roman" w:hAnsi="Times New Roman"/>
          <w:b w:val="0"/>
          <w:i w:val="0"/>
          <w:smallCaps w:val="0"/>
          <w:color w:val="000000"/>
          <w:sz w:val="22"/>
          <w:szCs w:val="22"/>
        </w:rPr>
      </w:pPr>
      <w:r w:rsidDel="00000000" w:rsidR="00000000" w:rsidRPr="00000000">
        <w:rPr>
          <w:rFonts w:ascii="Times New Roman" w:cs="Times New Roman" w:eastAsia="Times New Roman" w:hAnsi="Times New Roman"/>
          <w:b w:val="1"/>
          <w:i w:val="0"/>
          <w:smallCaps w:val="0"/>
          <w:color w:val="000000"/>
          <w:sz w:val="22"/>
          <w:szCs w:val="22"/>
          <w:rtl w:val="0"/>
        </w:rPr>
        <w:t xml:space="preserve">ROSIANE CRISTINA VIEIRA NÉIA STORTI</w:t>
      </w:r>
      <w:r w:rsidDel="00000000" w:rsidR="00000000" w:rsidRPr="00000000">
        <w:rPr>
          <w:rtl w:val="0"/>
        </w:rPr>
      </w:r>
    </w:p>
    <w:p w:rsidR="00000000" w:rsidDel="00000000" w:rsidP="00000000" w:rsidRDefault="00000000" w:rsidRPr="00000000" w14:paraId="00000025">
      <w:pPr>
        <w:tabs>
          <w:tab w:val="left" w:leader="none" w:pos="567"/>
        </w:tabs>
        <w:spacing w:after="0" w:before="0" w:line="240" w:lineRule="auto"/>
        <w:ind w:left="0" w:right="-426" w:hanging="2"/>
        <w:jc w:val="center"/>
        <w:rPr>
          <w:rFonts w:ascii="Times New Roman" w:cs="Times New Roman" w:eastAsia="Times New Roman" w:hAnsi="Times New Roman"/>
          <w:b w:val="1"/>
          <w:i w:val="0"/>
          <w:smallCaps w:val="0"/>
          <w:color w:val="000000"/>
          <w:sz w:val="22"/>
          <w:szCs w:val="22"/>
        </w:rPr>
      </w:pPr>
      <w:r w:rsidDel="00000000" w:rsidR="00000000" w:rsidRPr="00000000">
        <w:rPr>
          <w:rFonts w:ascii="Times New Roman" w:cs="Times New Roman" w:eastAsia="Times New Roman" w:hAnsi="Times New Roman"/>
          <w:b w:val="1"/>
          <w:i w:val="0"/>
          <w:smallCaps w:val="0"/>
          <w:color w:val="000000"/>
          <w:sz w:val="22"/>
          <w:szCs w:val="22"/>
          <w:rtl w:val="0"/>
        </w:rPr>
        <w:t xml:space="preserve">Secretária Municipal de Assistência Social e Assuntos da Família</w:t>
      </w:r>
    </w:p>
    <w:p w:rsidR="00000000" w:rsidDel="00000000" w:rsidP="00000000" w:rsidRDefault="00000000" w:rsidRPr="00000000" w14:paraId="00000026">
      <w:pPr>
        <w:tabs>
          <w:tab w:val="left" w:leader="none" w:pos="567"/>
        </w:tabs>
        <w:spacing w:after="0" w:before="0" w:line="240" w:lineRule="auto"/>
        <w:ind w:left="0" w:right="-426" w:hanging="2"/>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after="120" w:line="24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8">
      <w:pPr>
        <w:spacing w:after="12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9">
      <w:pPr>
        <w:spacing w:after="120" w:line="240" w:lineRule="auto"/>
        <w:rPr>
          <w:rFonts w:ascii="Arial" w:cs="Arial" w:eastAsia="Arial" w:hAnsi="Arial"/>
        </w:rPr>
      </w:pPr>
      <w:r w:rsidDel="00000000" w:rsidR="00000000" w:rsidRPr="00000000">
        <w:rPr>
          <w:rFonts w:ascii="Arial" w:cs="Arial" w:eastAsia="Arial" w:hAnsi="Arial"/>
          <w:rtl w:val="0"/>
        </w:rPr>
        <w:t xml:space="preserve">                                            _____________________________</w:t>
      </w:r>
    </w:p>
    <w:p w:rsidR="00000000" w:rsidDel="00000000" w:rsidP="00000000" w:rsidRDefault="00000000" w:rsidRPr="00000000" w14:paraId="0000002A">
      <w:pPr>
        <w:spacing w:after="0" w:lineRule="auto"/>
        <w:ind w:right="-426" w:hanging="1"/>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ALINE FIRMINO NEVES VASCONCELOS</w:t>
      </w:r>
    </w:p>
    <w:p w:rsidR="00000000" w:rsidDel="00000000" w:rsidP="00000000" w:rsidRDefault="00000000" w:rsidRPr="00000000" w14:paraId="0000002B">
      <w:pPr>
        <w:tabs>
          <w:tab w:val="left" w:leader="none" w:pos="567"/>
        </w:tabs>
        <w:spacing w:after="0" w:line="240" w:lineRule="auto"/>
        <w:ind w:right="-426" w:hanging="2"/>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Secretária Municipal de Educação, Cultura e Esporte</w:t>
      </w:r>
    </w:p>
    <w:p w:rsidR="00000000" w:rsidDel="00000000" w:rsidP="00000000" w:rsidRDefault="00000000" w:rsidRPr="00000000" w14:paraId="0000002C">
      <w:pPr>
        <w:tabs>
          <w:tab w:val="left" w:leader="none" w:pos="567"/>
        </w:tabs>
        <w:spacing w:after="0" w:line="240" w:lineRule="auto"/>
        <w:ind w:right="-426" w:hanging="2"/>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tabs>
          <w:tab w:val="left" w:leader="none" w:pos="567"/>
        </w:tabs>
        <w:spacing w:after="0" w:before="0" w:line="240" w:lineRule="auto"/>
        <w:ind w:left="0" w:right="-426" w:hanging="2"/>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pStyle w:val="Heading1"/>
        <w:tabs>
          <w:tab w:val="center" w:leader="none" w:pos="5233"/>
          <w:tab w:val="left" w:leader="none" w:pos="7530"/>
        </w:tabs>
        <w:ind w:left="-1176" w:right="0" w:firstLine="0"/>
        <w:rPr>
          <w:rFonts w:ascii="Arial" w:cs="Arial" w:eastAsia="Arial" w:hAnsi="Arial"/>
          <w:b w:val="0"/>
          <w:sz w:val="24"/>
          <w:szCs w:val="24"/>
          <w:u w:val="single"/>
        </w:rPr>
      </w:pPr>
      <w:r w:rsidDel="00000000" w:rsidR="00000000" w:rsidRPr="00000000">
        <w:rPr>
          <w:rtl w:val="0"/>
        </w:rPr>
      </w:r>
    </w:p>
    <w:sectPr>
      <w:headerReference r:id="rId8" w:type="default"/>
      <w:footerReference r:id="rId9" w:type="default"/>
      <w:pgSz w:h="16838" w:w="11906" w:orient="portrait"/>
      <w:pgMar w:bottom="1417" w:top="1389" w:left="1701" w:right="1558"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Nyal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Rua Dino Veiga, 29, Centro – Fone: (43)3542-3419 – CEP 86.360-000</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709"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 mail: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acaosocialband@hotmail.com</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709"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Bandeirantes - Paraná</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spacing w:after="80" w:before="0" w:line="240" w:lineRule="auto"/>
      <w:jc w:val="center"/>
      <w:rPr>
        <w:b w:val="1"/>
        <w:i w:val="1"/>
        <w:sz w:val="28"/>
        <w:szCs w:val="28"/>
      </w:rPr>
    </w:pPr>
    <w:r w:rsidDel="00000000" w:rsidR="00000000" w:rsidRPr="00000000">
      <w:rPr>
        <w:b w:val="1"/>
        <w:i w:val="1"/>
        <w:sz w:val="28"/>
        <w:szCs w:val="28"/>
        <w:rtl w:val="0"/>
      </w:rPr>
      <w:t xml:space="preserve">PREFEITURA MUNICIPAL DE BANDEIRANTES</w:t>
    </w:r>
    <w:r w:rsidDel="00000000" w:rsidR="00000000" w:rsidRPr="00000000">
      <w:drawing>
        <wp:anchor allowOverlap="1" behindDoc="1" distB="0" distT="0" distL="0" distR="0" hidden="0" layoutInCell="1" locked="0" relativeHeight="0" simplePos="0">
          <wp:simplePos x="0" y="0"/>
          <wp:positionH relativeFrom="column">
            <wp:posOffset>-727709</wp:posOffset>
          </wp:positionH>
          <wp:positionV relativeFrom="paragraph">
            <wp:posOffset>-135254</wp:posOffset>
          </wp:positionV>
          <wp:extent cx="863600" cy="927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3600" cy="927100"/>
                  </a:xfrm>
                  <a:prstGeom prst="rect"/>
                  <a:ln/>
                </pic:spPr>
              </pic:pic>
            </a:graphicData>
          </a:graphic>
        </wp:anchor>
      </w:drawing>
    </w:r>
  </w:p>
  <w:p w:rsidR="00000000" w:rsidDel="00000000" w:rsidP="00000000" w:rsidRDefault="00000000" w:rsidRPr="00000000" w14:paraId="00000030">
    <w:pPr>
      <w:spacing w:after="120" w:before="0" w:line="240" w:lineRule="auto"/>
      <w:jc w:val="center"/>
      <w:rPr>
        <w:b w:val="1"/>
        <w:i w:val="1"/>
        <w:sz w:val="28"/>
        <w:szCs w:val="28"/>
      </w:rPr>
    </w:pPr>
    <w:r w:rsidDel="00000000" w:rsidR="00000000" w:rsidRPr="00000000">
      <w:rPr>
        <w:b w:val="1"/>
        <w:i w:val="1"/>
        <w:sz w:val="28"/>
        <w:szCs w:val="28"/>
        <w:rtl w:val="0"/>
      </w:rPr>
      <w:t xml:space="preserve">ESTADO DO PARANÁ</w:t>
    </w:r>
  </w:p>
  <w:p w:rsidR="00000000" w:rsidDel="00000000" w:rsidP="00000000" w:rsidRDefault="00000000" w:rsidRPr="00000000" w14:paraId="00000031">
    <w:pPr>
      <w:spacing w:after="120" w:line="240" w:lineRule="auto"/>
      <w:jc w:val="center"/>
      <w:rPr>
        <w:b w:val="1"/>
        <w:i w:val="1"/>
        <w:u w:val="single"/>
      </w:rPr>
    </w:pPr>
    <w:r w:rsidDel="00000000" w:rsidR="00000000" w:rsidRPr="00000000">
      <w:rPr>
        <w:b w:val="1"/>
        <w:i w:val="1"/>
        <w:u w:val="single"/>
        <w:rtl w:val="0"/>
      </w:rPr>
      <w:t xml:space="preserve">SECRETARIA MUNICIPAL DE ASSISTÊNCIA SOCIAL E ASSUNTOS DA FAMÍLIA E </w:t>
    </w:r>
  </w:p>
  <w:p w:rsidR="00000000" w:rsidDel="00000000" w:rsidP="00000000" w:rsidRDefault="00000000" w:rsidRPr="00000000" w14:paraId="00000032">
    <w:pPr>
      <w:spacing w:after="120" w:line="240" w:lineRule="auto"/>
      <w:jc w:val="center"/>
      <w:rPr>
        <w:i w:val="1"/>
        <w:u w:val="single"/>
      </w:rPr>
    </w:pPr>
    <w:r w:rsidDel="00000000" w:rsidR="00000000" w:rsidRPr="00000000">
      <w:rPr>
        <w:b w:val="1"/>
        <w:i w:val="1"/>
        <w:u w:val="single"/>
        <w:rtl w:val="0"/>
      </w:rPr>
      <w:t xml:space="preserve">SECRETARIA MUNICIPAL DE EDUCAÇÃO, CULTURA E ESPORTE</w:t>
    </w:r>
    <w:r w:rsidDel="00000000" w:rsidR="00000000" w:rsidRPr="00000000">
      <w:rPr>
        <w:rtl w:val="0"/>
      </w:rPr>
    </w:r>
  </w:p>
  <w:p w:rsidR="00000000" w:rsidDel="00000000" w:rsidP="00000000" w:rsidRDefault="00000000" w:rsidRPr="00000000" w14:paraId="00000033">
    <w:pPr>
      <w:spacing w:after="120" w:before="0" w:line="240" w:lineRule="auto"/>
      <w:jc w:val="center"/>
      <w:rPr>
        <w:b w:val="1"/>
        <w:i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before="0" w:line="240" w:lineRule="auto"/>
      <w:ind w:left="-108" w:right="-108" w:hanging="360"/>
      <w:jc w:val="center"/>
    </w:pPr>
    <w:rPr>
      <w:rFonts w:ascii="Times New Roman" w:cs="Times New Roman" w:eastAsia="Times New Roman" w:hAnsi="Times New Roman"/>
      <w:b w:val="1"/>
      <w:sz w:val="16"/>
      <w:szCs w:val="16"/>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before="0" w:line="240" w:lineRule="auto"/>
      <w:jc w:val="center"/>
    </w:pPr>
    <w:rPr>
      <w:rFonts w:ascii="Times New Roman" w:cs="Times New Roman" w:eastAsia="Times New Roman" w:hAnsi="Times New Roman"/>
      <w:b w:val="1"/>
      <w:color w:val="0000ff"/>
      <w:sz w:val="32"/>
      <w:szCs w:val="32"/>
    </w:rPr>
  </w:style>
  <w:style w:type="paragraph" w:styleId="Normal" w:default="1">
    <w:name w:val="Normal"/>
    <w:qFormat w:val="1"/>
    <w:pPr>
      <w:widowControl w:val="1"/>
      <w:suppressAutoHyphens w:val="1"/>
      <w:bidi w:val="0"/>
      <w:spacing w:after="200" w:before="0" w:line="276" w:lineRule="auto"/>
      <w:jc w:val="left"/>
    </w:pPr>
    <w:rPr>
      <w:rFonts w:ascii="Calibri" w:cs="Times New Roman" w:eastAsia="Calibri" w:hAnsi="Calibri"/>
      <w:color w:val="auto"/>
      <w:kern w:val="0"/>
      <w:sz w:val="22"/>
      <w:szCs w:val="22"/>
      <w:lang w:bidi="ar-SA" w:eastAsia="en-US" w:val="pt-BR"/>
    </w:rPr>
  </w:style>
  <w:style w:type="paragraph" w:styleId="Ttulo1">
    <w:name w:val="Heading 1"/>
    <w:basedOn w:val="Normal"/>
    <w:next w:val="Normal"/>
    <w:qFormat w:val="1"/>
    <w:pPr>
      <w:keepNext w:val="1"/>
      <w:numPr>
        <w:ilvl w:val="0"/>
        <w:numId w:val="1"/>
      </w:numPr>
      <w:suppressAutoHyphens w:val="1"/>
      <w:spacing w:after="0" w:before="0" w:line="240" w:lineRule="auto"/>
      <w:ind w:left="-108" w:right="-108" w:hanging="360"/>
      <w:jc w:val="center"/>
      <w:outlineLvl w:val="0"/>
    </w:pPr>
    <w:rPr>
      <w:rFonts w:ascii="Times New Roman" w:eastAsia="Times New Roman" w:hAnsi="Times New Roman"/>
      <w:b w:val="1"/>
      <w:sz w:val="16"/>
      <w:szCs w:val="20"/>
      <w:lang w:eastAsia="ar-SA"/>
    </w:rPr>
  </w:style>
  <w:style w:type="character" w:styleId="DefaultParagraphFont" w:default="1">
    <w:name w:val="Default Paragraph Font"/>
    <w:uiPriority w:val="1"/>
    <w:semiHidden w:val="1"/>
    <w:unhideWhenUsed w:val="1"/>
    <w:qFormat w:val="1"/>
    <w:rPr/>
  </w:style>
  <w:style w:type="character" w:styleId="CabealhoChar" w:customStyle="1">
    <w:name w:val="Cabeçalho Char"/>
    <w:basedOn w:val="DefaultParagraphFont"/>
    <w:qFormat w:val="1"/>
    <w:rPr/>
  </w:style>
  <w:style w:type="character" w:styleId="RodapChar" w:customStyle="1">
    <w:name w:val="Rodapé Char"/>
    <w:basedOn w:val="DefaultParagraphFont"/>
    <w:qFormat w:val="1"/>
    <w:rPr/>
  </w:style>
  <w:style w:type="character" w:styleId="LinkdaInternet">
    <w:name w:val="Link da Internet"/>
    <w:basedOn w:val="DefaultParagraphFont"/>
    <w:uiPriority w:val="99"/>
    <w:unhideWhenUsed w:val="1"/>
    <w:rsid w:val="344B111C"/>
    <w:rPr>
      <w:color w:val="0000ff"/>
      <w:u w:val="single"/>
    </w:rPr>
  </w:style>
  <w:style w:type="character" w:styleId="SubttuloChar" w:customStyle="1">
    <w:name w:val="Subtítulo Char"/>
    <w:basedOn w:val="DefaultParagraphFont"/>
    <w:qFormat w:val="1"/>
    <w:rPr>
      <w:rFonts w:ascii="Arial" w:cs="Arial" w:eastAsia="Times New Roman" w:hAnsi="Arial"/>
      <w:sz w:val="24"/>
      <w:szCs w:val="24"/>
      <w:lang w:eastAsia="ar-SA"/>
    </w:rPr>
  </w:style>
  <w:style w:type="character" w:styleId="TtuloChar" w:customStyle="1">
    <w:name w:val="Título Char"/>
    <w:basedOn w:val="DefaultParagraphFont"/>
    <w:qFormat w:val="1"/>
    <w:rPr>
      <w:rFonts w:ascii="Times New Roman" w:cs="Times New Roman" w:eastAsia="Times New Roman" w:hAnsi="Times New Roman"/>
      <w:b w:val="1"/>
      <w:color w:val="0000ff"/>
      <w:sz w:val="32"/>
      <w:szCs w:val="20"/>
      <w:lang w:eastAsia="ar-SA"/>
    </w:rPr>
  </w:style>
  <w:style w:type="character" w:styleId="Ttulo1Char" w:customStyle="1">
    <w:name w:val="Título 1 Char"/>
    <w:basedOn w:val="DefaultParagraphFont"/>
    <w:qFormat w:val="1"/>
    <w:rPr>
      <w:rFonts w:ascii="Times New Roman" w:cs="Times New Roman" w:eastAsia="Times New Roman" w:hAnsi="Times New Roman"/>
      <w:b w:val="1"/>
      <w:sz w:val="16"/>
      <w:szCs w:val="20"/>
      <w:lang w:eastAsia="ar-SA"/>
    </w:rPr>
  </w:style>
  <w:style w:type="character" w:styleId="MenoPendente1" w:customStyle="1">
    <w:name w:val="Menção Pendente1"/>
    <w:basedOn w:val="DefaultParagraphFont"/>
    <w:qFormat w:val="1"/>
    <w:rPr>
      <w:color w:val="605e5c"/>
      <w:shd w:fill="e1dfdd" w:val="clear"/>
    </w:rPr>
  </w:style>
  <w:style w:type="character" w:styleId="MenoPendente2" w:customStyle="1">
    <w:name w:val="Menção Pendente2"/>
    <w:basedOn w:val="DefaultParagraphFont"/>
    <w:qFormat w:val="1"/>
    <w:rPr>
      <w:color w:val="605e5c"/>
      <w:shd w:fill="e1dfdd" w:val="clear"/>
    </w:rPr>
  </w:style>
  <w:style w:type="character" w:styleId="Strong">
    <w:name w:val="Strong"/>
    <w:basedOn w:val="DefaultParagraphFont"/>
    <w:qFormat w:val="1"/>
    <w:rPr>
      <w:b w:val="1"/>
      <w:bCs w:val="1"/>
    </w:rPr>
  </w:style>
  <w:style w:type="character" w:styleId="PartesuperiorzdoformulrioChar" w:customStyle="1">
    <w:name w:val="Parte superior-z do formulário Char"/>
    <w:basedOn w:val="DefaultParagraphFont"/>
    <w:qFormat w:val="1"/>
    <w:rPr>
      <w:rFonts w:ascii="Arial" w:cs="Arial" w:eastAsia="Times New Roman" w:hAnsi="Arial"/>
      <w:vanish w:val="1"/>
      <w:sz w:val="16"/>
      <w:szCs w:val="16"/>
      <w:lang w:eastAsia="pt-BR"/>
    </w:rPr>
  </w:style>
  <w:style w:type="paragraph" w:styleId="Ttulo">
    <w:name w:val="Título"/>
    <w:basedOn w:val="Normal"/>
    <w:next w:val="Corpodotexto"/>
    <w:qFormat w:val="1"/>
    <w:pPr>
      <w:keepNext w:val="1"/>
      <w:spacing w:after="120" w:before="240"/>
    </w:pPr>
    <w:rPr>
      <w:rFonts w:ascii="Liberation Sans" w:cs="Arial" w:eastAsia="Microsoft YaHei" w:hAnsi="Liberation Sans"/>
      <w:sz w:val="28"/>
      <w:szCs w:val="28"/>
    </w:rPr>
  </w:style>
  <w:style w:type="paragraph" w:styleId="Corpodotexto">
    <w:name w:val="Body Text"/>
    <w:basedOn w:val="Normal"/>
    <w:pPr>
      <w:spacing w:after="140" w:before="0" w:line="276" w:lineRule="auto"/>
    </w:pPr>
    <w:rPr/>
  </w:style>
  <w:style w:type="paragraph" w:styleId="Lista">
    <w:name w:val="List"/>
    <w:basedOn w:val="Corpodotexto"/>
    <w:pPr/>
    <w:rPr>
      <w:rFonts w:cs="Arial"/>
    </w:rPr>
  </w:style>
  <w:style w:type="paragraph" w:styleId="Legenda">
    <w:name w:val="Caption"/>
    <w:basedOn w:val="Normal"/>
    <w:qFormat w:val="1"/>
    <w:pPr>
      <w:suppressLineNumbers w:val="1"/>
      <w:spacing w:after="120" w:before="120"/>
    </w:pPr>
    <w:rPr>
      <w:rFonts w:cs="Arial"/>
      <w:i w:val="1"/>
      <w:iCs w:val="1"/>
      <w:sz w:val="24"/>
      <w:szCs w:val="24"/>
    </w:rPr>
  </w:style>
  <w:style w:type="paragraph" w:styleId="Ndice">
    <w:name w:val="Índice"/>
    <w:basedOn w:val="Normal"/>
    <w:qFormat w:val="1"/>
    <w:pPr>
      <w:suppressLineNumbers w:val="1"/>
    </w:pPr>
    <w:rPr>
      <w:rFonts w:cs="Arial"/>
      <w:lang w:bidi="zxx" w:eastAsia="zxx" w:val="zxx"/>
    </w:rPr>
  </w:style>
  <w:style w:type="paragraph" w:styleId="ListParagraph">
    <w:name w:val="List Paragraph"/>
    <w:basedOn w:val="Normal"/>
    <w:qFormat w:val="1"/>
    <w:pPr>
      <w:spacing w:after="200" w:before="0"/>
      <w:ind w:left="720" w:hanging="0"/>
      <w:contextualSpacing w:val="1"/>
    </w:pPr>
    <w:rPr/>
  </w:style>
  <w:style w:type="paragraph" w:styleId="CabealhoeRodap">
    <w:name w:val="Cabeçalho e Rodapé"/>
    <w:basedOn w:val="Normal"/>
    <w:qFormat w:val="1"/>
    <w:pPr/>
    <w:rPr/>
  </w:style>
  <w:style w:type="paragraph" w:styleId="Cabealho">
    <w:name w:val="Header"/>
    <w:basedOn w:val="Normal"/>
    <w:qFormat w:val="1"/>
    <w:pPr>
      <w:tabs>
        <w:tab w:val="clear" w:pos="708"/>
        <w:tab w:val="center" w:leader="none" w:pos="4252"/>
        <w:tab w:val="right" w:leader="none" w:pos="8504"/>
      </w:tabs>
      <w:spacing w:after="0" w:before="0" w:line="240" w:lineRule="auto"/>
    </w:pPr>
    <w:rPr/>
  </w:style>
  <w:style w:type="paragraph" w:styleId="Rodap">
    <w:name w:val="Footer"/>
    <w:basedOn w:val="Normal"/>
    <w:qFormat w:val="1"/>
    <w:pPr>
      <w:tabs>
        <w:tab w:val="clear" w:pos="708"/>
        <w:tab w:val="center" w:leader="none" w:pos="4252"/>
        <w:tab w:val="right" w:leader="none" w:pos="8504"/>
      </w:tabs>
      <w:spacing w:after="0" w:before="0" w:line="240" w:lineRule="auto"/>
    </w:pPr>
    <w:rPr/>
  </w:style>
  <w:style w:type="paragraph" w:styleId="Subttulo">
    <w:name w:val="Subtitle"/>
    <w:basedOn w:val="Normal"/>
    <w:qFormat w:val="1"/>
    <w:pPr>
      <w:suppressAutoHyphens w:val="1"/>
      <w:spacing w:after="60" w:before="0" w:line="240" w:lineRule="auto"/>
      <w:jc w:val="center"/>
      <w:outlineLvl w:val="1"/>
    </w:pPr>
    <w:rPr>
      <w:rFonts w:ascii="Arial" w:cs="Arial" w:eastAsia="Times New Roman" w:hAnsi="Arial"/>
      <w:sz w:val="24"/>
      <w:szCs w:val="24"/>
      <w:lang w:eastAsia="ar-SA"/>
    </w:rPr>
  </w:style>
  <w:style w:type="paragraph" w:styleId="Ttulododocumento">
    <w:name w:val="Title"/>
    <w:basedOn w:val="Normal"/>
    <w:next w:val="Subttulo"/>
    <w:qFormat w:val="1"/>
    <w:pPr>
      <w:suppressAutoHyphens w:val="1"/>
      <w:spacing w:after="0" w:before="0" w:line="240" w:lineRule="auto"/>
      <w:jc w:val="center"/>
    </w:pPr>
    <w:rPr>
      <w:rFonts w:ascii="Times New Roman" w:eastAsia="Times New Roman" w:hAnsi="Times New Roman"/>
      <w:b w:val="1"/>
      <w:color w:val="0000ff"/>
      <w:sz w:val="32"/>
      <w:szCs w:val="20"/>
      <w:lang w:eastAsia="ar-SA"/>
    </w:rPr>
  </w:style>
  <w:style w:type="paragraph" w:styleId="NormalWeb">
    <w:name w:val="Normal (Web)"/>
    <w:basedOn w:val="Normal"/>
    <w:qFormat w:val="1"/>
    <w:pPr>
      <w:spacing w:afterAutospacing="1" w:beforeAutospacing="1" w:line="240" w:lineRule="auto"/>
    </w:pPr>
    <w:rPr>
      <w:rFonts w:ascii="Times New Roman" w:eastAsia="Times New Roman" w:hAnsi="Times New Roman"/>
      <w:sz w:val="24"/>
      <w:szCs w:val="24"/>
      <w:lang w:eastAsia="pt-BR"/>
    </w:rPr>
  </w:style>
  <w:style w:type="paragraph" w:styleId="Partesuperiorzdoformulrio1" w:customStyle="1">
    <w:name w:val="Parte superior-z do formulário1"/>
    <w:basedOn w:val="Normal"/>
    <w:next w:val="Normal"/>
    <w:qFormat w:val="1"/>
    <w:pPr>
      <w:pBdr>
        <w:bottom w:color="000000" w:space="1" w:sz="6" w:val="single"/>
      </w:pBdr>
      <w:spacing w:after="0" w:before="0" w:line="240" w:lineRule="auto"/>
      <w:jc w:val="center"/>
    </w:pPr>
    <w:rPr>
      <w:rFonts w:ascii="Arial" w:cs="Arial" w:eastAsia="Times New Roman" w:hAnsi="Arial"/>
      <w:vanish w:val="1"/>
      <w:sz w:val="16"/>
      <w:szCs w:val="16"/>
      <w:lang w:eastAsia="pt-BR"/>
    </w:rPr>
  </w:style>
  <w:style w:type="numbering" w:styleId="NoList" w:default="1">
    <w:name w:val="No List"/>
    <w:uiPriority w:val="99"/>
    <w:semiHidden w:val="1"/>
    <w:unhideWhenUsed w:val="1"/>
    <w:qFormat w:val="1"/>
  </w:style>
  <w:style w:type="table" w:styleId="Tabelanormal" w:default="1">
    <w:name w:val="Normal Table"/>
    <w:uiPriority w:val="99"/>
    <w:semiHidden w:val="1"/>
    <w:unhideWhenUsed w:val="1"/>
    <w:tblPr>
      <w:tblCellMar>
        <w:top w:w="0.0" w:type="dxa"/>
        <w:left w:w="108.0" w:type="dxa"/>
        <w:bottom w:w="0.0" w:type="dxa"/>
        <w:right w:w="108.0" w:type="dxa"/>
      </w:tblCellMar>
    </w:tblPr>
  </w:style>
  <w:style w:type="table" w:styleId="NormalTable0" w:customStyle="1">
    <w:name w:val="Normal Table0"/>
    <w:tblPr>
      <w:tblCellMar>
        <w:top w:w="0.0" w:type="dxa"/>
        <w:left w:w="108.0" w:type="dxa"/>
        <w:bottom w:w="0.0" w:type="dxa"/>
        <w:right w:w="108.0" w:type="dxa"/>
      </w:tblCellMar>
    </w:tblPr>
  </w:style>
  <w:style w:type="table" w:styleId="Tabelacomgrade">
    <w:name w:val="Table Grid"/>
    <w:basedOn w:val="NormalTable0"/>
    <w:uiPriority w:val="59"/>
    <w:pPr>
      <w:spacing w:after="0" w:line="240" w:lineRule="auto"/>
    </w:p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Subtitle">
    <w:name w:val="Subtitle"/>
    <w:basedOn w:val="Normal"/>
    <w:next w:val="Normal"/>
    <w:pPr>
      <w:spacing w:after="60" w:before="0" w:line="240" w:lineRule="auto"/>
      <w:jc w:val="center"/>
    </w:pPr>
    <w:rPr>
      <w:rFonts w:ascii="Arial" w:cs="Arial" w:eastAsia="Arial" w:hAnsi="Arial"/>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otaparana.pr.gov.br/"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acaosocialband@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FQUQcK5XExqDJd3u53g9W4rqEQ==">CgMxLjAyDmguc2k2bzN5MXRmenhuOAByITFHQ1FnZzBXbGxFSEJlUjM3UkxjUTJRNktuc3k4dWwzcg==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2024-07-25T17:11:00Z</dcterms:created>
  <dc:creator>Caio</dc:creator>
</cp:coreProperties>
</file>

<file path=docProps/custom.xml><?xml version="1.0" encoding="utf-8"?>
<Properties xmlns="http://schemas.openxmlformats.org/officeDocument/2006/custom-properties" xmlns:vt="http://schemas.openxmlformats.org/officeDocument/2006/docPropsVTypes"/>
</file>