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MATRIZ DE RISCOS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b w:val="1"/>
          <w:sz w:val="24"/>
          <w:szCs w:val="24"/>
        </w:rPr>
      </w:pPr>
      <w:bookmarkStart w:colFirst="0" w:colLast="0" w:name="_heading=h.46k8fjwdikaq" w:id="0"/>
      <w:bookmarkEnd w:id="0"/>
      <w:r w:rsidDel="00000000" w:rsidR="00000000" w:rsidRPr="00000000">
        <w:rPr>
          <w:sz w:val="24"/>
          <w:szCs w:val="24"/>
          <w:rtl w:val="0"/>
        </w:rPr>
        <w:t xml:space="preserve">OBJ.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CONTRATAÇÃO DE PESSOA JURÍDICA PARA AQUISIÇÃO DE ITENS ALIMENTÍCIOS, DE HIGIENE, EQUIPAMENTOS, BRINQUEDOS, JOGOS E MATERIAIS PEDAGÓGICOS PARA ESTIMULAÇÃO DO DESENVOLVIMENTO DAS CRIANÇAS NA PRIMEIRA INFÂNCIA.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b w:val="1"/>
          <w:sz w:val="24"/>
          <w:szCs w:val="24"/>
        </w:rPr>
      </w:pPr>
      <w:bookmarkStart w:colFirst="0" w:colLast="0" w:name="_heading=h.7k76452poi5u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RISCO 1: Descritivo de produtos que não possuem mais no mercado.</w:t>
      </w:r>
    </w:p>
    <w:tbl>
      <w:tblPr>
        <w:tblStyle w:val="Table1"/>
        <w:tblW w:w="85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1843"/>
        <w:gridCol w:w="2126"/>
        <w:gridCol w:w="2268"/>
        <w:tblGridChange w:id="0">
          <w:tblGrid>
            <w:gridCol w:w="2263"/>
            <w:gridCol w:w="1843"/>
            <w:gridCol w:w="2126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PROBABILIDADE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0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BAIXA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MÉDIA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IMPACTO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BAIXO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MÉDIO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0D">
            <w:pPr>
              <w:tabs>
                <w:tab w:val="center" w:leader="none" w:pos="1026"/>
                <w:tab w:val="right" w:leader="none" w:pos="205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ab/>
              <w:t xml:space="preserve">ALTO</w:t>
              <w:tab/>
            </w:r>
          </w:p>
        </w:tc>
      </w:tr>
    </w:tbl>
    <w:p w:rsidR="00000000" w:rsidDel="00000000" w:rsidP="00000000" w:rsidRDefault="00000000" w:rsidRPr="00000000" w14:paraId="0000000E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CORREÇÃO DO RISCO: Verificar se os produtos estão disponíveis no mercado, uma das formas, utilização dos códigos CATMAT.</w:t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RISCO 2: Ocorrência de produtos “cancelado por inexistência de propostas”.</w:t>
      </w:r>
    </w:p>
    <w:tbl>
      <w:tblPr>
        <w:tblStyle w:val="Table2"/>
        <w:tblW w:w="85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1843"/>
        <w:gridCol w:w="2126"/>
        <w:gridCol w:w="2268"/>
        <w:tblGridChange w:id="0">
          <w:tblGrid>
            <w:gridCol w:w="2263"/>
            <w:gridCol w:w="1843"/>
            <w:gridCol w:w="2126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PROBABILIDADE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1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BAIXA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MÉDIA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IMPACTO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BAIXO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MÉDIO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1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ALTO</w:t>
            </w:r>
          </w:p>
        </w:tc>
      </w:tr>
    </w:tbl>
    <w:p w:rsidR="00000000" w:rsidDel="00000000" w:rsidP="00000000" w:rsidRDefault="00000000" w:rsidRPr="00000000" w14:paraId="00000019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CORREÇÃO DO RISCO: Realizar uma ampla pesquisa nos sites recomendados, procurando por processos registrados mais recentemente, para que os preços e produtos não se encontrem defasados. </w:t>
      </w:r>
    </w:p>
    <w:p w:rsidR="00000000" w:rsidDel="00000000" w:rsidP="00000000" w:rsidRDefault="00000000" w:rsidRPr="00000000" w14:paraId="0000001A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RISCO 3: Ocorrência de processo “desertos”.</w:t>
      </w:r>
    </w:p>
    <w:tbl>
      <w:tblPr>
        <w:tblStyle w:val="Table3"/>
        <w:tblW w:w="85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1843"/>
        <w:gridCol w:w="2126"/>
        <w:gridCol w:w="2268"/>
        <w:tblGridChange w:id="0">
          <w:tblGrid>
            <w:gridCol w:w="2263"/>
            <w:gridCol w:w="1843"/>
            <w:gridCol w:w="2126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PROBABILIDADE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1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BAIXA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MÉDIA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IMPACTO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BAIXO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MÉDIO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2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ALTO</w:t>
            </w:r>
          </w:p>
        </w:tc>
      </w:tr>
    </w:tbl>
    <w:p w:rsidR="00000000" w:rsidDel="00000000" w:rsidP="00000000" w:rsidRDefault="00000000" w:rsidRPr="00000000" w14:paraId="00000024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CORREÇÃO DO RISCO: Divulgar nos sites oficiais, para o acompanhamento das empresas que participam de processos do mesmo segmento. </w:t>
      </w:r>
    </w:p>
    <w:p w:rsidR="00000000" w:rsidDel="00000000" w:rsidP="00000000" w:rsidRDefault="00000000" w:rsidRPr="00000000" w14:paraId="00000025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RISCO 4: Atraso de entregas.</w:t>
      </w:r>
    </w:p>
    <w:tbl>
      <w:tblPr>
        <w:tblStyle w:val="Table4"/>
        <w:tblW w:w="85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1843"/>
        <w:gridCol w:w="2126"/>
        <w:gridCol w:w="2268"/>
        <w:tblGridChange w:id="0">
          <w:tblGrid>
            <w:gridCol w:w="2263"/>
            <w:gridCol w:w="1843"/>
            <w:gridCol w:w="2126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PROBABILIDADE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BAIXA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2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MÉDIA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IMPACTO</w:t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BAIXO</w:t>
            </w:r>
          </w:p>
        </w:tc>
        <w:tc>
          <w:tcPr>
            <w:shd w:fill="b5b5b5" w:val="clea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MÉDIO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ALTO</w:t>
            </w:r>
          </w:p>
        </w:tc>
      </w:tr>
    </w:tbl>
    <w:p w:rsidR="00000000" w:rsidDel="00000000" w:rsidP="00000000" w:rsidRDefault="00000000" w:rsidRPr="00000000" w14:paraId="0000002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CORREÇÃO DO RISCO: Estipular no Edital prazos condizentes com a classificação dos produtos, para que a empresa tenha tempo hábil de realizar a entrega e caso mesmo assim não consigam e não apresentem justificativas, a mesma deverá ser notificada.</w:t>
      </w:r>
    </w:p>
    <w:p w:rsidR="00000000" w:rsidDel="00000000" w:rsidP="00000000" w:rsidRDefault="00000000" w:rsidRPr="00000000" w14:paraId="0000003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sz w:val="24"/>
          <w:szCs w:val="24"/>
        </w:rPr>
      </w:pPr>
      <w:bookmarkStart w:colFirst="0" w:colLast="0" w:name="_heading=h.g4ldgds6kck" w:id="2"/>
      <w:bookmarkEnd w:id="2"/>
      <w:r w:rsidDel="00000000" w:rsidR="00000000" w:rsidRPr="00000000">
        <w:rPr>
          <w:sz w:val="24"/>
          <w:szCs w:val="24"/>
          <w:rtl w:val="0"/>
        </w:rPr>
        <w:t xml:space="preserve">RISCO 5: Quantitativo insuficiente para o período proposto de 12 (doze) meses.</w:t>
      </w:r>
    </w:p>
    <w:tbl>
      <w:tblPr>
        <w:tblStyle w:val="Table5"/>
        <w:tblW w:w="85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1843"/>
        <w:gridCol w:w="2126"/>
        <w:gridCol w:w="2268"/>
        <w:tblGridChange w:id="0">
          <w:tblGrid>
            <w:gridCol w:w="2263"/>
            <w:gridCol w:w="1843"/>
            <w:gridCol w:w="2126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PROBABILIDADE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3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BAIXA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MÉDIA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IMPACTO</w:t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BAIXO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MÉDIO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3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ALTO</w:t>
            </w:r>
          </w:p>
        </w:tc>
      </w:tr>
    </w:tbl>
    <w:p w:rsidR="00000000" w:rsidDel="00000000" w:rsidP="00000000" w:rsidRDefault="00000000" w:rsidRPr="00000000" w14:paraId="0000003A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CORREÇÃO DO RISCO: Realizar uma análise nos departamentos, para se estimar o quantitativo necessário e incluir cláusulas que possibilitem o aditamento caso ocorram fatos supervenientes, desde que a Lei permita.</w:t>
      </w:r>
    </w:p>
    <w:p w:rsidR="00000000" w:rsidDel="00000000" w:rsidP="00000000" w:rsidRDefault="00000000" w:rsidRPr="00000000" w14:paraId="0000003B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RISCO 6: Entregas de produtos perecíveis sem condições de consumo.</w:t>
      </w:r>
    </w:p>
    <w:tbl>
      <w:tblPr>
        <w:tblStyle w:val="Table6"/>
        <w:tblW w:w="85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1843"/>
        <w:gridCol w:w="2126"/>
        <w:gridCol w:w="2268"/>
        <w:tblGridChange w:id="0">
          <w:tblGrid>
            <w:gridCol w:w="2263"/>
            <w:gridCol w:w="1843"/>
            <w:gridCol w:w="2126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PROBABILIDADE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3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BAIXA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MÉDIA</w:t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IMPACTO</w:t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BAIXO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4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MÉDIO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4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ALTO</w:t>
            </w:r>
          </w:p>
        </w:tc>
      </w:tr>
    </w:tbl>
    <w:p w:rsidR="00000000" w:rsidDel="00000000" w:rsidP="00000000" w:rsidRDefault="00000000" w:rsidRPr="00000000" w14:paraId="00000045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CORREÇÃO DO RISCO</w:t>
      </w:r>
      <w:r w:rsidDel="00000000" w:rsidR="00000000" w:rsidRPr="00000000">
        <w:rPr>
          <w:rFonts w:ascii="Quattrocento Sans" w:cs="Quattrocento Sans" w:eastAsia="Quattrocento Sans" w:hAnsi="Quattrocento Sans"/>
          <w:color w:val="0d0d0d"/>
          <w:highlight w:val="white"/>
          <w:rtl w:val="0"/>
        </w:rPr>
        <w:t xml:space="preserve">:</w:t>
      </w:r>
      <w:r w:rsidDel="00000000" w:rsidR="00000000" w:rsidRPr="00000000">
        <w:rPr>
          <w:rFonts w:ascii="Quattrocento Sans" w:cs="Quattrocento Sans" w:eastAsia="Quattrocento Sans" w:hAnsi="Quattrocento Sans"/>
          <w:color w:val="0d0d0d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color w:val="0d0d0d"/>
          <w:sz w:val="24"/>
          <w:szCs w:val="24"/>
          <w:highlight w:val="white"/>
          <w:rtl w:val="0"/>
        </w:rPr>
        <w:t xml:space="preserve">No momento do recebimento dos itens de higiene, equipamentos, brinquedos, jogos e materiais pedagógicos</w:t>
      </w:r>
      <w:r w:rsidDel="00000000" w:rsidR="00000000" w:rsidRPr="00000000">
        <w:rPr>
          <w:sz w:val="24"/>
          <w:szCs w:val="24"/>
          <w:rtl w:val="0"/>
        </w:rPr>
        <w:t xml:space="preserve">, é fundamental um processo de inspeção rigoroso. Esta etapa envolve uma verificação minuciosa dos itens contidos como produtos de higiene, assegurando que apenas produtos de qualidade satisfatória sejam aceitos.</w:t>
      </w:r>
    </w:p>
    <w:p w:rsidR="00000000" w:rsidDel="00000000" w:rsidP="00000000" w:rsidRDefault="00000000" w:rsidRPr="00000000" w14:paraId="0000004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right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Bandeirantes, 23  de maio de 2025.</w:t>
      </w:r>
    </w:p>
    <w:p w:rsidR="00000000" w:rsidDel="00000000" w:rsidP="00000000" w:rsidRDefault="00000000" w:rsidRPr="00000000" w14:paraId="0000004A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left" w:leader="none" w:pos="5250"/>
        </w:tabs>
        <w:jc w:val="both"/>
        <w:rPr>
          <w:sz w:val="24"/>
          <w:szCs w:val="24"/>
        </w:rPr>
      </w:pPr>
      <w:bookmarkStart w:colFirst="0" w:colLast="0" w:name="_heading=h.d8yn4sd45200" w:id="3"/>
      <w:bookmarkEnd w:id="3"/>
      <w:r w:rsidDel="00000000" w:rsidR="00000000" w:rsidRPr="00000000">
        <w:rPr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4D">
      <w:pPr>
        <w:ind w:left="708" w:firstLine="0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____________________________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-426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ROSIANE CRISTINA VIEIRA NÉIA STORTI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0" w:line="240" w:lineRule="auto"/>
        <w:ind w:left="0" w:right="-426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Secretária Municipal de Assistência Social e Assuntos da Família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200" w:before="0" w:line="276" w:lineRule="auto"/>
        <w:ind w:left="0" w:right="-426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Portaria 14.859/2025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200" w:before="0" w:line="276" w:lineRule="auto"/>
        <w:ind w:left="0" w:right="-426" w:firstLine="0"/>
        <w:jc w:val="center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left="708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ALINE FIRMINO NEVES VASCONCELOS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tabs>
          <w:tab w:val="left" w:leader="none" w:pos="567"/>
        </w:tabs>
        <w:spacing w:after="0" w:line="276" w:lineRule="auto"/>
        <w:ind w:right="-426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Secretária Municipal de Educação, Cultura e Esporte</w:t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tabs>
          <w:tab w:val="left" w:leader="none" w:pos="567"/>
        </w:tabs>
        <w:spacing w:after="0" w:line="276" w:lineRule="auto"/>
        <w:ind w:right="-426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Portaria 14.820/2025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spacing w:after="80" w:line="240" w:lineRule="auto"/>
      <w:jc w:val="center"/>
      <w:rPr>
        <w:b w:val="1"/>
        <w:i w:val="1"/>
      </w:rPr>
    </w:pPr>
    <w:r w:rsidDel="00000000" w:rsidR="00000000" w:rsidRPr="00000000">
      <w:rPr>
        <w:b w:val="1"/>
        <w:i w:val="1"/>
        <w:rtl w:val="0"/>
      </w:rPr>
      <w:t xml:space="preserve">PREFEITURA MUNICIPAL DE BANDEIRANTES</w: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-779143</wp:posOffset>
          </wp:positionH>
          <wp:positionV relativeFrom="paragraph">
            <wp:posOffset>5715</wp:posOffset>
          </wp:positionV>
          <wp:extent cx="784860" cy="74104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4860" cy="74104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7">
    <w:pPr>
      <w:spacing w:after="120" w:line="240" w:lineRule="auto"/>
      <w:jc w:val="center"/>
      <w:rPr>
        <w:i w:val="1"/>
      </w:rPr>
    </w:pPr>
    <w:r w:rsidDel="00000000" w:rsidR="00000000" w:rsidRPr="00000000">
      <w:rPr>
        <w:i w:val="1"/>
        <w:rtl w:val="0"/>
      </w:rPr>
      <w:t xml:space="preserve">ESTADO DO PARANÁ</w:t>
    </w:r>
  </w:p>
  <w:p w:rsidR="00000000" w:rsidDel="00000000" w:rsidP="00000000" w:rsidRDefault="00000000" w:rsidRPr="00000000" w14:paraId="00000058">
    <w:pPr>
      <w:spacing w:after="120" w:line="240" w:lineRule="auto"/>
      <w:jc w:val="center"/>
      <w:rPr>
        <w:i w:val="1"/>
        <w:u w:val="single"/>
      </w:rPr>
    </w:pPr>
    <w:r w:rsidDel="00000000" w:rsidR="00000000" w:rsidRPr="00000000">
      <w:rPr>
        <w:b w:val="1"/>
        <w:i w:val="1"/>
        <w:rtl w:val="0"/>
      </w:rPr>
      <w:tab/>
    </w:r>
    <w:r w:rsidDel="00000000" w:rsidR="00000000" w:rsidRPr="00000000">
      <w:rPr>
        <w:b w:val="1"/>
        <w:i w:val="1"/>
        <w:u w:val="single"/>
        <w:rtl w:val="0"/>
      </w:rPr>
      <w:t xml:space="preserve">SECRETARIA MUNICIPAL DE ASSISTÊNCIA SOCIAL E ASSUNTOS DA FAMÍLIA E SECRETARIA MUNICIPAL DE EDUCAÇÃO, CULTURA E ESPORTE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tabs>
        <w:tab w:val="center" w:leader="none" w:pos="4323"/>
        <w:tab w:val="left" w:leader="none" w:pos="7884"/>
      </w:tabs>
      <w:spacing w:after="120" w:line="240" w:lineRule="auto"/>
      <w:rPr>
        <w:i w:val="1"/>
      </w:rPr>
    </w:pPr>
    <w:r w:rsidDel="00000000" w:rsidR="00000000" w:rsidRPr="00000000">
      <w:rPr>
        <w:i w:val="1"/>
        <w:rtl w:val="0"/>
      </w:rPr>
      <w:t xml:space="preserve"> </w:t>
    </w:r>
  </w:p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qFormat w:val="1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qFormat w:val="1"/>
    <w:pPr>
      <w:tabs>
        <w:tab w:val="center" w:pos="4252"/>
        <w:tab w:val="right" w:pos="8504"/>
      </w:tabs>
      <w:spacing w:after="0" w:line="240" w:lineRule="auto"/>
    </w:pPr>
  </w:style>
  <w:style w:type="paragraph" w:styleId="Subttulo">
    <w:name w:val="Subtitle"/>
    <w:basedOn w:val="Normal"/>
    <w:next w:val="Normal"/>
    <w:qFormat w:val="1"/>
    <w:rPr>
      <w:color w:val="5a5a5a"/>
      <w:spacing w:val="15"/>
    </w:rPr>
  </w:style>
  <w:style w:type="paragraph" w:styleId="PargrafodaLista">
    <w:name w:val="List Paragraph"/>
    <w:basedOn w:val="Normal"/>
    <w:qFormat w:val="1"/>
    <w:pPr>
      <w:spacing w:after="200" w:line="276" w:lineRule="auto"/>
      <w:ind w:left="720"/>
      <w:contextualSpacing w:val="1"/>
    </w:pPr>
    <w:rPr>
      <w:rFonts w:cs="Times New Roman"/>
    </w:rPr>
  </w:style>
  <w:style w:type="character" w:styleId="CabealhoChar" w:customStyle="1">
    <w:name w:val="Cabeçalho Char"/>
    <w:basedOn w:val="Fontepargpadro"/>
  </w:style>
  <w:style w:type="character" w:styleId="RodapChar" w:customStyle="1">
    <w:name w:val="Rodapé Char"/>
    <w:basedOn w:val="Fontepargpadro"/>
  </w:style>
  <w:style w:type="character" w:styleId="SubttuloChar" w:customStyle="1">
    <w:name w:val="Subtítulo Char"/>
    <w:basedOn w:val="Fontepargpadro"/>
    <w:rPr>
      <w:rFonts w:eastAsia="Calibri"/>
      <w:color w:val="5a5a5a"/>
      <w:spacing w:val="0"/>
    </w:rPr>
  </w:style>
  <w:style w:type="table" w:styleId="NormalTable0" w:customStyle="1">
    <w:name w:val="Normal Table0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elacomgrade">
    <w:name w:val="Table Grid"/>
    <w:basedOn w:val="NormalTable0"/>
    <w:uiPriority w:val="59"/>
    <w:pPr>
      <w:spacing w:after="0" w:line="240" w:lineRule="auto"/>
    </w:p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Subtitle">
    <w:name w:val="Subtitle"/>
    <w:basedOn w:val="Normal"/>
    <w:next w:val="Normal"/>
    <w:pPr/>
    <w:rPr>
      <w:color w:val="5a5a5a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/>
    <w:rPr>
      <w:color w:val="5a5a5a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9qcl8w4nhK977zJXli0k/fsbUw==">CgMxLjAyDmguNDZrOGZqd2Rpa2FxMg5oLjdrNzY0NTJwb2k1dTINaC5nNGxkZ2RzNmtjazIOaC5kOHluNHNkNDUyMDA4AHIhMV9fZmV2YkFad0JJRTB6UlNoU1ZuVmpQZkJreGYxR3pM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2024-07-26T10:25:00Z</dcterms:created>
  <dc:creator>FERNANDA</dc:creator>
</cp:coreProperties>
</file>