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png" ContentType="image/png"/>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itemProps2.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ind w:hanging="2" w:left="0"/>
        <w:rPr>
          <w:rFonts w:eastAsia="Merriweather"/>
        </w:rPr>
      </w:pPr>
      <w:r>
        <w:rPr>
          <w:rFonts w:eastAsia="Merriweather"/>
        </w:rPr>
      </w:r>
    </w:p>
    <w:p>
      <w:pPr>
        <w:pStyle w:val="Normal"/>
        <w:spacing w:before="0" w:after="57"/>
        <w:ind w:hanging="2" w:left="0"/>
        <w:jc w:val="center"/>
        <w:rPr>
          <w:b/>
          <w:sz w:val="22"/>
          <w:szCs w:val="22"/>
        </w:rPr>
      </w:pPr>
      <w:r>
        <w:rPr>
          <w:b/>
          <w:sz w:val="22"/>
          <w:szCs w:val="22"/>
        </w:rPr>
        <w:t xml:space="preserve">MAPA DE RISCO </w:t>
      </w:r>
    </w:p>
    <w:p>
      <w:pPr>
        <w:pStyle w:val="Normal"/>
        <w:spacing w:before="0" w:after="57"/>
        <w:ind w:hanging="2" w:left="0"/>
        <w:jc w:val="center"/>
        <w:rPr>
          <w:b/>
          <w:sz w:val="22"/>
          <w:szCs w:val="22"/>
        </w:rPr>
      </w:pPr>
      <w:r>
        <w:rPr>
          <w:b/>
          <w:sz w:val="22"/>
          <w:szCs w:val="22"/>
        </w:rPr>
      </w:r>
    </w:p>
    <w:p>
      <w:pPr>
        <w:pStyle w:val="Normal"/>
        <w:spacing w:before="0" w:after="57"/>
        <w:ind w:hanging="2" w:left="0"/>
        <w:rPr/>
      </w:pPr>
      <w:r>
        <w:rPr>
          <w:b/>
          <w:sz w:val="22"/>
          <w:szCs w:val="22"/>
        </w:rPr>
        <w:t>INFORMAÇÕES BÁSICAS:</w:t>
      </w:r>
    </w:p>
    <w:tbl>
      <w:tblPr>
        <w:tblStyle w:val="Tabelacomgrade"/>
        <w:tblW w:w="15690"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5690"/>
      </w:tblGrid>
      <w:tr>
        <w:trPr/>
        <w:tc>
          <w:tcPr>
            <w:tcW w:w="15690" w:type="dxa"/>
            <w:tcBorders/>
            <w:vAlign w:val="center"/>
          </w:tcPr>
          <w:p>
            <w:pPr>
              <w:pStyle w:val="Normal"/>
              <w:widowControl/>
              <w:spacing w:lineRule="auto" w:line="276" w:before="0" w:after="57"/>
              <w:ind w:hanging="0" w:left="0"/>
              <w:jc w:val="left"/>
              <w:rPr/>
            </w:pPr>
            <w:r>
              <w:rPr>
                <w:rFonts w:eastAsia="Times New Roman" w:cs="Times New Roman"/>
                <w:b/>
                <w:color w:themeColor="dark1" w:val="000000"/>
                <w:kern w:val="0"/>
                <w:sz w:val="22"/>
                <w:szCs w:val="22"/>
                <w:lang w:val="pt-BR" w:eastAsia="pt-BR" w:bidi="ar-SA"/>
              </w:rPr>
              <w:t>Responsável pela Edição:</w:t>
            </w:r>
            <w:r>
              <w:rPr>
                <w:rFonts w:eastAsia="Times New Roman" w:cs="Times New Roman"/>
                <w:b/>
                <w:color w:themeColor="dark1" w:val="000000"/>
                <w:kern w:val="0"/>
                <w:sz w:val="24"/>
                <w:szCs w:val="24"/>
                <w:lang w:val="pt-BR" w:eastAsia="pt-BR" w:bidi="ar-SA"/>
              </w:rPr>
              <w:t xml:space="preserve"> </w:t>
            </w:r>
            <w:r>
              <w:rPr>
                <w:rFonts w:eastAsia="Times New Roman" w:cs="Times New Roman"/>
                <w:b/>
                <w:color w:themeColor="dark1" w:val="000000"/>
                <w:kern w:val="0"/>
                <w:sz w:val="22"/>
                <w:szCs w:val="22"/>
                <w:lang w:val="pt-BR" w:eastAsia="pt-BR" w:bidi="ar-SA"/>
              </w:rPr>
              <w:t>Claudia Janz da Silva</w:t>
            </w:r>
          </w:p>
        </w:tc>
      </w:tr>
      <w:tr>
        <w:trPr/>
        <w:tc>
          <w:tcPr>
            <w:tcW w:w="15690" w:type="dxa"/>
            <w:tcBorders/>
            <w:vAlign w:val="center"/>
          </w:tcPr>
          <w:p>
            <w:pPr>
              <w:pStyle w:val="Normal"/>
              <w:widowControl/>
              <w:spacing w:lineRule="auto" w:line="276" w:before="0" w:after="57"/>
              <w:ind w:hanging="0" w:left="0"/>
              <w:jc w:val="left"/>
              <w:rPr/>
            </w:pPr>
            <w:r>
              <w:rPr>
                <w:rFonts w:eastAsia="Times New Roman" w:cs="Times New Roman"/>
                <w:color w:themeColor="dark1" w:val="000000"/>
                <w:kern w:val="0"/>
                <w:sz w:val="22"/>
                <w:szCs w:val="22"/>
                <w:lang w:val="pt-BR" w:eastAsia="pt-BR" w:bidi="ar-SA"/>
              </w:rPr>
              <w:t>Data de Criação: 2</w:t>
            </w:r>
            <w:r>
              <w:rPr>
                <w:rFonts w:eastAsia="Times New Roman" w:cs="Times New Roman"/>
                <w:color w:themeColor="dark1" w:val="000000"/>
                <w:kern w:val="0"/>
                <w:sz w:val="22"/>
                <w:szCs w:val="22"/>
                <w:lang w:val="pt-BR" w:eastAsia="pt-BR" w:bidi="ar-SA"/>
              </w:rPr>
              <w:t>3</w:t>
            </w:r>
            <w:r>
              <w:rPr>
                <w:rFonts w:eastAsia="Times New Roman" w:cs="Times New Roman"/>
                <w:color w:themeColor="dark1" w:val="000000"/>
                <w:kern w:val="0"/>
                <w:sz w:val="22"/>
                <w:szCs w:val="22"/>
                <w:lang w:val="pt-BR" w:eastAsia="pt-BR" w:bidi="ar-SA"/>
              </w:rPr>
              <w:t xml:space="preserve"> de outubro de 2024</w:t>
            </w:r>
          </w:p>
        </w:tc>
      </w:tr>
      <w:tr>
        <w:trPr>
          <w:trHeight w:val="942" w:hRule="atLeast"/>
        </w:trPr>
        <w:tc>
          <w:tcPr>
            <w:tcW w:w="15690" w:type="dxa"/>
            <w:tcBorders/>
            <w:vAlign w:val="center"/>
          </w:tcPr>
          <w:p>
            <w:pPr>
              <w:pStyle w:val="Normal"/>
              <w:widowControl/>
              <w:tabs>
                <w:tab w:val="clear" w:pos="720"/>
                <w:tab w:val="left" w:pos="0" w:leader="none"/>
              </w:tabs>
              <w:spacing w:before="0" w:after="0"/>
              <w:ind w:hanging="2" w:left="0" w:right="-426"/>
              <w:jc w:val="left"/>
              <w:rPr/>
            </w:pPr>
            <w:r>
              <w:rPr>
                <w:rFonts w:eastAsia="Times New Roman" w:cs="Times New Roman"/>
                <w:b/>
                <w:color w:themeColor="dark1" w:val="000000"/>
                <w:kern w:val="0"/>
                <w:sz w:val="22"/>
                <w:szCs w:val="22"/>
                <w:lang w:val="pt-BR" w:eastAsia="pt-BR" w:bidi="ar-SA"/>
              </w:rPr>
              <w:t>Objeto da Matriz de Riscos:</w:t>
            </w:r>
            <w:r>
              <w:rPr>
                <w:rFonts w:eastAsia="Times New Roman" w:cs="Times New Roman"/>
                <w:color w:themeColor="dark1" w:val="000000"/>
                <w:kern w:val="0"/>
                <w:sz w:val="22"/>
                <w:szCs w:val="22"/>
                <w:lang w:val="pt-BR" w:eastAsia="pt-BR" w:bidi="ar-SA"/>
              </w:rPr>
              <w:t xml:space="preserve"> </w:t>
            </w:r>
            <w:bookmarkStart w:id="0" w:name="_GoBack"/>
            <w:bookmarkEnd w:id="0"/>
            <w:r>
              <w:rPr>
                <w:rFonts w:eastAsia="Merriweather" w:cs="Arial" w:ascii="Arial" w:hAnsi="Arial"/>
                <w:b w:val="false"/>
                <w:bCs w:val="false"/>
                <w:color w:val="000000"/>
                <w:kern w:val="0"/>
                <w:sz w:val="22"/>
                <w:szCs w:val="22"/>
                <w:lang w:val="pt-BR" w:eastAsia="pt-BR" w:bidi="ar-SA"/>
              </w:rPr>
              <w:t>C</w:t>
            </w:r>
            <w:r>
              <w:rPr>
                <w:rFonts w:eastAsia="Merriweather" w:cs="Arial" w:ascii="Arial" w:hAnsi="Arial"/>
                <w:color w:val="000000"/>
                <w:kern w:val="0"/>
                <w:sz w:val="22"/>
                <w:szCs w:val="22"/>
                <w:lang w:val="pt-BR" w:eastAsia="pt-BR" w:bidi="ar-SA"/>
              </w:rPr>
              <w:t>ontratação de pessoa jurídica para confecção e instalação de materiais para comunicação visual, visando atender as necessidades das diversas secretarias do município de Bandeirantes/PR.</w:t>
            </w:r>
          </w:p>
        </w:tc>
      </w:tr>
    </w:tbl>
    <w:p>
      <w:pPr>
        <w:pStyle w:val="Normal"/>
        <w:spacing w:before="0" w:after="57"/>
        <w:ind w:hanging="2" w:left="0"/>
        <w:jc w:val="center"/>
        <w:rPr>
          <w:sz w:val="22"/>
          <w:szCs w:val="22"/>
        </w:rPr>
      </w:pPr>
      <w:r>
        <w:rPr>
          <w:sz w:val="22"/>
          <w:szCs w:val="22"/>
        </w:rPr>
      </w:r>
    </w:p>
    <w:tbl>
      <w:tblPr>
        <w:tblW w:w="15690" w:type="dxa"/>
        <w:jc w:val="left"/>
        <w:tblInd w:w="0" w:type="dxa"/>
        <w:tblLayout w:type="fixed"/>
        <w:tblCellMar>
          <w:top w:w="0" w:type="dxa"/>
          <w:left w:w="70" w:type="dxa"/>
          <w:bottom w:w="0" w:type="dxa"/>
          <w:right w:w="70" w:type="dxa"/>
        </w:tblCellMar>
        <w:tblLook w:firstRow="1" w:noVBand="1" w:lastRow="0" w:firstColumn="1" w:lastColumn="0" w:noHBand="0" w:val="04a0"/>
      </w:tblPr>
      <w:tblGrid>
        <w:gridCol w:w="522"/>
        <w:gridCol w:w="1359"/>
        <w:gridCol w:w="1944"/>
        <w:gridCol w:w="1222"/>
        <w:gridCol w:w="1655"/>
        <w:gridCol w:w="860"/>
        <w:gridCol w:w="2639"/>
        <w:gridCol w:w="1444"/>
        <w:gridCol w:w="2243"/>
        <w:gridCol w:w="1800"/>
      </w:tblGrid>
      <w:tr>
        <w:trPr>
          <w:trHeight w:val="240" w:hRule="atLeast"/>
        </w:trPr>
        <w:tc>
          <w:tcPr>
            <w:tcW w:w="5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b/>
                <w:bCs/>
                <w:color w:val="000000"/>
                <w:sz w:val="18"/>
                <w:szCs w:val="18"/>
              </w:rPr>
              <w:t>ITEM</w:t>
            </w:r>
          </w:p>
        </w:tc>
        <w:tc>
          <w:tcPr>
            <w:tcW w:w="1359"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b/>
                <w:bCs/>
                <w:color w:val="000000"/>
                <w:sz w:val="18"/>
                <w:szCs w:val="18"/>
              </w:rPr>
              <w:t>FASE</w:t>
            </w:r>
          </w:p>
        </w:tc>
        <w:tc>
          <w:tcPr>
            <w:tcW w:w="1944"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b/>
                <w:bCs/>
                <w:color w:val="000000"/>
                <w:sz w:val="18"/>
                <w:szCs w:val="18"/>
              </w:rPr>
              <w:t>DESCRIÇÃO DO RISCO</w:t>
            </w:r>
          </w:p>
        </w:tc>
        <w:tc>
          <w:tcPr>
            <w:tcW w:w="1222" w:type="dxa"/>
            <w:tcBorders>
              <w:top w:val="single" w:sz="4" w:space="0" w:color="000000"/>
              <w:bottom w:val="single" w:sz="4" w:space="0" w:color="000000"/>
              <w:right w:val="single" w:sz="4" w:space="0" w:color="000000"/>
            </w:tcBorders>
            <w:shd w:color="000000" w:fill="FCE4D6" w:val="clear"/>
            <w:vAlign w:val="center"/>
          </w:tcPr>
          <w:p>
            <w:pPr>
              <w:pStyle w:val="Normal"/>
              <w:suppressAutoHyphens w:val="false"/>
              <w:spacing w:lineRule="auto" w:line="240"/>
              <w:ind w:hanging="0" w:left="0"/>
              <w:jc w:val="center"/>
              <w:textAlignment w:val="auto"/>
              <w:outlineLvl w:val="9"/>
              <w:rPr/>
            </w:pPr>
            <w:r>
              <w:rPr>
                <w:rFonts w:ascii="Calibri" w:hAnsi="Calibri"/>
                <w:b/>
                <w:bCs/>
                <w:color w:val="000000"/>
                <w:sz w:val="18"/>
                <w:szCs w:val="18"/>
              </w:rPr>
              <w:t>PROBALIDADE</w:t>
            </w:r>
          </w:p>
        </w:tc>
        <w:tc>
          <w:tcPr>
            <w:tcW w:w="1655"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b/>
                <w:bCs/>
                <w:color w:val="000000"/>
                <w:sz w:val="18"/>
                <w:szCs w:val="18"/>
              </w:rPr>
              <w:t>DANO</w:t>
            </w:r>
          </w:p>
        </w:tc>
        <w:tc>
          <w:tcPr>
            <w:tcW w:w="860" w:type="dxa"/>
            <w:tcBorders>
              <w:top w:val="single" w:sz="4" w:space="0" w:color="000000"/>
              <w:bottom w:val="single" w:sz="4" w:space="0" w:color="000000"/>
              <w:right w:val="single" w:sz="4" w:space="0" w:color="000000"/>
            </w:tcBorders>
            <w:shd w:color="000000" w:fill="B4C6E7" w:val="clear"/>
            <w:vAlign w:val="center"/>
          </w:tcPr>
          <w:p>
            <w:pPr>
              <w:pStyle w:val="Normal"/>
              <w:suppressAutoHyphens w:val="false"/>
              <w:spacing w:lineRule="auto" w:line="240"/>
              <w:ind w:hanging="0" w:left="0"/>
              <w:jc w:val="center"/>
              <w:textAlignment w:val="auto"/>
              <w:outlineLvl w:val="9"/>
              <w:rPr/>
            </w:pPr>
            <w:r>
              <w:rPr>
                <w:rFonts w:ascii="Calibri" w:hAnsi="Calibri"/>
                <w:b/>
                <w:bCs/>
                <w:color w:val="000000"/>
                <w:sz w:val="18"/>
                <w:szCs w:val="18"/>
              </w:rPr>
              <w:t>IMPACTO</w:t>
            </w:r>
          </w:p>
        </w:tc>
        <w:tc>
          <w:tcPr>
            <w:tcW w:w="2639"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b/>
                <w:bCs/>
                <w:color w:val="000000"/>
                <w:sz w:val="18"/>
                <w:szCs w:val="18"/>
              </w:rPr>
              <w:t>AÇÃO PREVENTIVA</w:t>
            </w:r>
          </w:p>
        </w:tc>
        <w:tc>
          <w:tcPr>
            <w:tcW w:w="1444"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b/>
                <w:bCs/>
                <w:color w:val="000000"/>
                <w:sz w:val="18"/>
                <w:szCs w:val="18"/>
              </w:rPr>
              <w:t>RESPONSAVEL</w:t>
            </w:r>
          </w:p>
        </w:tc>
        <w:tc>
          <w:tcPr>
            <w:tcW w:w="2243"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b/>
                <w:bCs/>
                <w:color w:val="000000"/>
                <w:sz w:val="18"/>
                <w:szCs w:val="18"/>
              </w:rPr>
              <w:t>AÇÃO DE CONTIGENCIA</w:t>
            </w:r>
          </w:p>
        </w:tc>
        <w:tc>
          <w:tcPr>
            <w:tcW w:w="1800"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b/>
                <w:bCs/>
                <w:color w:val="000000"/>
                <w:sz w:val="18"/>
                <w:szCs w:val="18"/>
              </w:rPr>
              <w:t>RESPONSAVEL</w:t>
            </w:r>
          </w:p>
        </w:tc>
      </w:tr>
      <w:tr>
        <w:trPr>
          <w:trHeight w:val="2160" w:hRule="atLeast"/>
        </w:trPr>
        <w:tc>
          <w:tcPr>
            <w:tcW w:w="522"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right"/>
              <w:textAlignment w:val="auto"/>
              <w:outlineLvl w:val="9"/>
              <w:rPr/>
            </w:pPr>
            <w:r>
              <w:rPr>
                <w:rFonts w:ascii="Calibri" w:hAnsi="Calibri"/>
                <w:color w:val="000000"/>
                <w:sz w:val="18"/>
                <w:szCs w:val="18"/>
              </w:rPr>
              <w:t>1</w:t>
            </w:r>
          </w:p>
        </w:tc>
        <w:tc>
          <w:tcPr>
            <w:tcW w:w="135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val="000000"/>
                <w:sz w:val="18"/>
                <w:szCs w:val="18"/>
              </w:rPr>
              <w:t>PLANEJAMENTO DA CONTRATAÇÃO</w:t>
            </w:r>
          </w:p>
        </w:tc>
        <w:tc>
          <w:tcPr>
            <w:tcW w:w="19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Não formalização da oficialização da demanda</w:t>
            </w:r>
          </w:p>
        </w:tc>
        <w:tc>
          <w:tcPr>
            <w:tcW w:w="1222" w:type="dxa"/>
            <w:tcBorders>
              <w:bottom w:val="single" w:sz="4" w:space="0" w:color="000000"/>
              <w:right w:val="single" w:sz="4" w:space="0" w:color="000000"/>
            </w:tcBorders>
            <w:shd w:color="000000" w:fill="FCE4D6" w:val="clear"/>
            <w:vAlign w:val="center"/>
          </w:tcPr>
          <w:p>
            <w:pPr>
              <w:pStyle w:val="Normal"/>
              <w:suppressAutoHyphens w:val="false"/>
              <w:spacing w:lineRule="auto" w:line="240"/>
              <w:ind w:hanging="0" w:left="0"/>
              <w:jc w:val="center"/>
              <w:textAlignment w:val="auto"/>
              <w:outlineLvl w:val="9"/>
              <w:rPr/>
            </w:pPr>
            <w:r>
              <w:rPr>
                <w:rFonts w:ascii="Calibri" w:hAnsi="Calibri"/>
                <w:b/>
                <w:bCs/>
                <w:color w:val="000000"/>
                <w:sz w:val="18"/>
                <w:szCs w:val="18"/>
              </w:rPr>
              <w:t>POUCO PROVAVEL</w:t>
            </w:r>
          </w:p>
        </w:tc>
        <w:tc>
          <w:tcPr>
            <w:tcW w:w="1655"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Ausência da formalização da demanda que origina a contratação, levando a contratação que não atende a uma necessidade da organização, com consequente desperdício de recursos públicos.</w:t>
            </w:r>
          </w:p>
        </w:tc>
        <w:tc>
          <w:tcPr>
            <w:tcW w:w="860" w:type="dxa"/>
            <w:tcBorders>
              <w:bottom w:val="single" w:sz="4" w:space="0" w:color="000000"/>
              <w:right w:val="single" w:sz="4" w:space="0" w:color="000000"/>
            </w:tcBorders>
            <w:shd w:color="000000" w:fill="B4C6E7" w:val="clear"/>
            <w:vAlign w:val="center"/>
          </w:tcPr>
          <w:p>
            <w:pPr>
              <w:pStyle w:val="Normal"/>
              <w:suppressAutoHyphens w:val="false"/>
              <w:spacing w:lineRule="auto" w:line="240"/>
              <w:ind w:hanging="0" w:left="0"/>
              <w:jc w:val="center"/>
              <w:textAlignment w:val="auto"/>
              <w:outlineLvl w:val="9"/>
              <w:rPr/>
            </w:pPr>
            <w:r>
              <w:rPr>
                <w:rFonts w:ascii="Calibri" w:hAnsi="Calibri"/>
                <w:b/>
                <w:bCs/>
                <w:color w:val="000000"/>
                <w:sz w:val="18"/>
                <w:szCs w:val="18"/>
              </w:rPr>
              <w:t>ALTO</w:t>
            </w:r>
          </w:p>
        </w:tc>
        <w:tc>
          <w:tcPr>
            <w:tcW w:w="263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Alta administração pública deverá normatizar situação criando obrigatoriedade de que todas as contratações da organização sejam iniciadas com a formalização da demanda por meio de documento assinado pelo requisitante.</w:t>
            </w:r>
          </w:p>
        </w:tc>
        <w:tc>
          <w:tcPr>
            <w:tcW w:w="14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val="000000"/>
                <w:sz w:val="18"/>
                <w:szCs w:val="18"/>
              </w:rPr>
              <w:t>AUTORIDADE COMPETENTE</w:t>
            </w:r>
          </w:p>
        </w:tc>
        <w:tc>
          <w:tcPr>
            <w:tcW w:w="2243"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A alta administração da contratação deverá oficiar ao requisitante, para que este proceda ao preenchimento do documento padronizado de Documento de Formalização da Demanda (DFD) orientando quanto à necessidade que este contenha informações claras sobre qual a necessidade da contratação em termos de negócio e identifique precisamente o ator que declarou esta necessidade.</w:t>
            </w:r>
          </w:p>
        </w:tc>
        <w:tc>
          <w:tcPr>
            <w:tcW w:w="1800"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val="000000"/>
                <w:sz w:val="18"/>
                <w:szCs w:val="18"/>
              </w:rPr>
              <w:t>AUTORIDADE COMPETENTE</w:t>
            </w:r>
          </w:p>
        </w:tc>
      </w:tr>
      <w:tr>
        <w:trPr>
          <w:trHeight w:val="2160" w:hRule="atLeast"/>
        </w:trPr>
        <w:tc>
          <w:tcPr>
            <w:tcW w:w="522"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right"/>
              <w:textAlignment w:val="auto"/>
              <w:outlineLvl w:val="9"/>
              <w:rPr/>
            </w:pPr>
            <w:r>
              <w:rPr>
                <w:rFonts w:ascii="Calibri" w:hAnsi="Calibri"/>
                <w:color w:val="000000"/>
                <w:sz w:val="18"/>
                <w:szCs w:val="18"/>
              </w:rPr>
              <w:t>2</w:t>
            </w:r>
          </w:p>
        </w:tc>
        <w:tc>
          <w:tcPr>
            <w:tcW w:w="135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val="000000"/>
                <w:sz w:val="18"/>
                <w:szCs w:val="18"/>
              </w:rPr>
              <w:t>PLANEJAMENTO DA CONTRATAÇÃO</w:t>
            </w:r>
          </w:p>
        </w:tc>
        <w:tc>
          <w:tcPr>
            <w:tcW w:w="19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Oficialização da demanda não efetuada pelo requisitante</w:t>
            </w:r>
          </w:p>
        </w:tc>
        <w:tc>
          <w:tcPr>
            <w:tcW w:w="1222" w:type="dxa"/>
            <w:tcBorders>
              <w:bottom w:val="single" w:sz="4" w:space="0" w:color="000000"/>
              <w:right w:val="single" w:sz="4" w:space="0" w:color="000000"/>
            </w:tcBorders>
            <w:shd w:color="000000" w:fill="FCE4D6" w:val="clear"/>
            <w:vAlign w:val="center"/>
          </w:tcPr>
          <w:p>
            <w:pPr>
              <w:pStyle w:val="Normal"/>
              <w:suppressAutoHyphens w:val="false"/>
              <w:spacing w:lineRule="auto" w:line="240"/>
              <w:ind w:hanging="0" w:left="0"/>
              <w:jc w:val="center"/>
              <w:textAlignment w:val="auto"/>
              <w:outlineLvl w:val="9"/>
              <w:rPr/>
            </w:pPr>
            <w:r>
              <w:rPr>
                <w:rFonts w:ascii="Calibri" w:hAnsi="Calibri"/>
                <w:b/>
                <w:bCs/>
                <w:color w:val="000000"/>
                <w:sz w:val="18"/>
                <w:szCs w:val="18"/>
              </w:rPr>
              <w:t>POUCO PROVAVEL</w:t>
            </w:r>
          </w:p>
        </w:tc>
        <w:tc>
          <w:tcPr>
            <w:tcW w:w="1655"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Contratação iniciada por outro o ator que não seja o efetivo requisitante, levando a contratação de uma solução que não atenda à necessidade de negócio que a desencadeou, com consequente necessidade de muitos ajustes para que a solução contratada atenda às necessidades ou abandono da solução contratada.</w:t>
            </w:r>
          </w:p>
        </w:tc>
        <w:tc>
          <w:tcPr>
            <w:tcW w:w="860" w:type="dxa"/>
            <w:tcBorders>
              <w:bottom w:val="single" w:sz="4" w:space="0" w:color="000000"/>
              <w:right w:val="single" w:sz="4" w:space="0" w:color="000000"/>
            </w:tcBorders>
            <w:shd w:color="000000" w:fill="B4C6E7" w:val="clear"/>
            <w:vAlign w:val="center"/>
          </w:tcPr>
          <w:p>
            <w:pPr>
              <w:pStyle w:val="Normal"/>
              <w:suppressAutoHyphens w:val="false"/>
              <w:spacing w:lineRule="auto" w:line="240"/>
              <w:ind w:hanging="0" w:left="0"/>
              <w:jc w:val="center"/>
              <w:textAlignment w:val="auto"/>
              <w:outlineLvl w:val="9"/>
              <w:rPr/>
            </w:pPr>
            <w:r>
              <w:rPr>
                <w:rFonts w:ascii="Calibri" w:hAnsi="Calibri"/>
                <w:b/>
                <w:bCs/>
                <w:color w:val="000000"/>
                <w:sz w:val="18"/>
                <w:szCs w:val="18"/>
              </w:rPr>
              <w:t>ALTO</w:t>
            </w:r>
          </w:p>
        </w:tc>
        <w:tc>
          <w:tcPr>
            <w:tcW w:w="263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Requisitante deve ser a autora do Documento de Formalização da Demanda (DFD); Identificar corretamente os setores responsáveis; Verificar corretamente a demanda. Envolver os setores na instrução inicial do processo, solicitando ratificação ou retificação dos objetos.</w:t>
            </w:r>
          </w:p>
        </w:tc>
        <w:tc>
          <w:tcPr>
            <w:tcW w:w="14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val="000000"/>
                <w:sz w:val="18"/>
                <w:szCs w:val="18"/>
              </w:rPr>
              <w:t>AUTORIDADE COMPETENTE</w:t>
            </w:r>
          </w:p>
        </w:tc>
        <w:tc>
          <w:tcPr>
            <w:tcW w:w="2243"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Quando detectado o erro quanto a real necessidade da demanda, parar o processo no estágio em que se encontrar e proceder com a retificação dos artefatos técnicos. Não formalização da equipe de planejamento, devolução a área demandante. Informação a alta administração da necessidade que o requisitante elabore o DFD.</w:t>
            </w:r>
          </w:p>
        </w:tc>
        <w:tc>
          <w:tcPr>
            <w:tcW w:w="1800"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val="000000"/>
                <w:sz w:val="18"/>
                <w:szCs w:val="18"/>
              </w:rPr>
              <w:t>AUTORIDADE COMPETENTE</w:t>
            </w:r>
          </w:p>
        </w:tc>
      </w:tr>
      <w:tr>
        <w:trPr>
          <w:trHeight w:val="2160" w:hRule="atLeast"/>
        </w:trPr>
        <w:tc>
          <w:tcPr>
            <w:tcW w:w="522"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right"/>
              <w:textAlignment w:val="auto"/>
              <w:outlineLvl w:val="9"/>
              <w:rPr/>
            </w:pPr>
            <w:r>
              <w:rPr>
                <w:rFonts w:ascii="Calibri" w:hAnsi="Calibri"/>
                <w:color w:val="000000"/>
                <w:sz w:val="18"/>
                <w:szCs w:val="18"/>
              </w:rPr>
              <w:t>3</w:t>
            </w:r>
          </w:p>
        </w:tc>
        <w:tc>
          <w:tcPr>
            <w:tcW w:w="135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val="000000"/>
                <w:sz w:val="18"/>
                <w:szCs w:val="18"/>
              </w:rPr>
              <w:t>PLANEJAMENTO DA CONTRATAÇÃO</w:t>
            </w:r>
          </w:p>
        </w:tc>
        <w:tc>
          <w:tcPr>
            <w:tcW w:w="19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Seleção de equipe inadequada para o planejamento da contratação</w:t>
            </w:r>
          </w:p>
        </w:tc>
        <w:tc>
          <w:tcPr>
            <w:tcW w:w="1222" w:type="dxa"/>
            <w:tcBorders>
              <w:bottom w:val="single" w:sz="4" w:space="0" w:color="000000"/>
              <w:right w:val="single" w:sz="4" w:space="0" w:color="000000"/>
            </w:tcBorders>
            <w:shd w:color="000000" w:fill="FCE4D6" w:val="clear"/>
            <w:vAlign w:val="center"/>
          </w:tcPr>
          <w:p>
            <w:pPr>
              <w:pStyle w:val="Normal"/>
              <w:suppressAutoHyphens w:val="false"/>
              <w:spacing w:lineRule="auto" w:line="240"/>
              <w:ind w:hanging="0" w:left="0"/>
              <w:jc w:val="center"/>
              <w:textAlignment w:val="auto"/>
              <w:outlineLvl w:val="9"/>
              <w:rPr/>
            </w:pPr>
            <w:r>
              <w:rPr>
                <w:rFonts w:ascii="Calibri" w:hAnsi="Calibri"/>
                <w:b/>
                <w:bCs/>
                <w:color w:val="000000"/>
                <w:sz w:val="18"/>
                <w:szCs w:val="18"/>
              </w:rPr>
              <w:t>POUCO PROVAVEL</w:t>
            </w:r>
          </w:p>
        </w:tc>
        <w:tc>
          <w:tcPr>
            <w:tcW w:w="1655"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Realizar estudo falho, incompleto ou impreciso, podendo ocasionar prejuízos na contratação</w:t>
            </w:r>
          </w:p>
        </w:tc>
        <w:tc>
          <w:tcPr>
            <w:tcW w:w="860" w:type="dxa"/>
            <w:tcBorders>
              <w:bottom w:val="single" w:sz="4" w:space="0" w:color="000000"/>
              <w:right w:val="single" w:sz="4" w:space="0" w:color="000000"/>
            </w:tcBorders>
            <w:shd w:color="000000" w:fill="B4C6E7" w:val="clear"/>
            <w:vAlign w:val="center"/>
          </w:tcPr>
          <w:p>
            <w:pPr>
              <w:pStyle w:val="Normal"/>
              <w:suppressAutoHyphens w:val="false"/>
              <w:spacing w:lineRule="auto" w:line="240"/>
              <w:ind w:hanging="0" w:left="0"/>
              <w:jc w:val="center"/>
              <w:textAlignment w:val="auto"/>
              <w:outlineLvl w:val="9"/>
              <w:rPr/>
            </w:pPr>
            <w:r>
              <w:rPr>
                <w:rFonts w:ascii="Calibri" w:hAnsi="Calibri"/>
                <w:b/>
                <w:bCs/>
                <w:color w:val="000000"/>
                <w:sz w:val="18"/>
                <w:szCs w:val="18"/>
              </w:rPr>
              <w:t>MUITO ALTO</w:t>
            </w:r>
          </w:p>
        </w:tc>
        <w:tc>
          <w:tcPr>
            <w:tcW w:w="263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Identificar corretamente os setores responsáveis, que devem participar de forma intensiva da instrução processual; designar equipe com conhecimentos suficientes para os estudos em tempo hábil para que não haja prejuízos durante a fase de planejamento.</w:t>
            </w:r>
          </w:p>
        </w:tc>
        <w:tc>
          <w:tcPr>
            <w:tcW w:w="14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val="000000"/>
                <w:sz w:val="18"/>
                <w:szCs w:val="18"/>
              </w:rPr>
              <w:t>REQUISITANTE DA DEMANDA</w:t>
            </w:r>
          </w:p>
        </w:tc>
        <w:tc>
          <w:tcPr>
            <w:tcW w:w="2243"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Análise prévia do objeto a ser licitado, direcionando para as equipes corretas; Quando o processo já está em andamento substituir membros da equipe de planejamento que não estejam tendo rendimento; Capacitação continuada dos servidores que possuam perfil para integrarem a equipe de planejamento; Designar membros com mais experiência em contratações.</w:t>
            </w:r>
          </w:p>
        </w:tc>
        <w:tc>
          <w:tcPr>
            <w:tcW w:w="1800"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val="000000"/>
                <w:sz w:val="18"/>
                <w:szCs w:val="18"/>
              </w:rPr>
              <w:t>AUTORIDADE COMPETENTE; EQUIPE DE PLANEJAMENTO</w:t>
            </w:r>
          </w:p>
        </w:tc>
      </w:tr>
      <w:tr>
        <w:trPr>
          <w:trHeight w:val="2880" w:hRule="atLeast"/>
        </w:trPr>
        <w:tc>
          <w:tcPr>
            <w:tcW w:w="522"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right"/>
              <w:textAlignment w:val="auto"/>
              <w:outlineLvl w:val="9"/>
              <w:rPr/>
            </w:pPr>
            <w:r>
              <w:rPr>
                <w:rFonts w:ascii="Calibri" w:hAnsi="Calibri"/>
                <w:color w:val="000000"/>
                <w:sz w:val="18"/>
                <w:szCs w:val="18"/>
              </w:rPr>
              <w:t>4</w:t>
            </w:r>
          </w:p>
        </w:tc>
        <w:tc>
          <w:tcPr>
            <w:tcW w:w="135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val="000000"/>
                <w:sz w:val="18"/>
                <w:szCs w:val="18"/>
              </w:rPr>
              <w:t>PLANEJAMENTO DA CONTRATAÇÃO</w:t>
            </w:r>
          </w:p>
        </w:tc>
        <w:tc>
          <w:tcPr>
            <w:tcW w:w="19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Designação de servidores sem capacidade técnica para desempenho da atividade de fiscalização contratual</w:t>
            </w:r>
          </w:p>
        </w:tc>
        <w:tc>
          <w:tcPr>
            <w:tcW w:w="1222" w:type="dxa"/>
            <w:tcBorders>
              <w:bottom w:val="single" w:sz="4" w:space="0" w:color="000000"/>
              <w:right w:val="single" w:sz="4" w:space="0" w:color="000000"/>
            </w:tcBorders>
            <w:shd w:color="000000" w:fill="FCE4D6" w:val="clear"/>
            <w:vAlign w:val="center"/>
          </w:tcPr>
          <w:p>
            <w:pPr>
              <w:pStyle w:val="Normal"/>
              <w:suppressAutoHyphens w:val="false"/>
              <w:spacing w:lineRule="auto" w:line="240"/>
              <w:ind w:hanging="0" w:left="0"/>
              <w:jc w:val="center"/>
              <w:textAlignment w:val="auto"/>
              <w:outlineLvl w:val="9"/>
              <w:rPr/>
            </w:pPr>
            <w:r>
              <w:rPr>
                <w:rFonts w:ascii="Calibri" w:hAnsi="Calibri"/>
                <w:b/>
                <w:bCs/>
                <w:color w:val="000000"/>
                <w:sz w:val="18"/>
                <w:szCs w:val="18"/>
              </w:rPr>
              <w:t>POUCO PROVAVEL</w:t>
            </w:r>
          </w:p>
        </w:tc>
        <w:tc>
          <w:tcPr>
            <w:tcW w:w="1655"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Realizar estudo falho, incompleto ou impreciso, podendo ocasionar prejuízos na contratação</w:t>
            </w:r>
          </w:p>
        </w:tc>
        <w:tc>
          <w:tcPr>
            <w:tcW w:w="860" w:type="dxa"/>
            <w:tcBorders>
              <w:bottom w:val="single" w:sz="4" w:space="0" w:color="000000"/>
              <w:right w:val="single" w:sz="4" w:space="0" w:color="000000"/>
            </w:tcBorders>
            <w:shd w:color="000000" w:fill="B4C6E7" w:val="clear"/>
            <w:vAlign w:val="center"/>
          </w:tcPr>
          <w:p>
            <w:pPr>
              <w:pStyle w:val="Normal"/>
              <w:suppressAutoHyphens w:val="false"/>
              <w:spacing w:lineRule="auto" w:line="240"/>
              <w:ind w:hanging="0" w:left="0"/>
              <w:jc w:val="center"/>
              <w:textAlignment w:val="auto"/>
              <w:outlineLvl w:val="9"/>
              <w:rPr/>
            </w:pPr>
            <w:r>
              <w:rPr>
                <w:rFonts w:ascii="Calibri" w:hAnsi="Calibri"/>
                <w:b/>
                <w:bCs/>
                <w:color w:val="000000"/>
                <w:sz w:val="18"/>
                <w:szCs w:val="18"/>
              </w:rPr>
              <w:t>MUITO ALTO</w:t>
            </w:r>
          </w:p>
        </w:tc>
        <w:tc>
          <w:tcPr>
            <w:tcW w:w="263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Designar fiscal com conhecimentos suficientes para os estudos em tempo hábil para que não haja prejuízos durante a fase de planejamento e demais fase executórias da licitação.</w:t>
            </w:r>
          </w:p>
        </w:tc>
        <w:tc>
          <w:tcPr>
            <w:tcW w:w="14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val="000000"/>
                <w:sz w:val="18"/>
                <w:szCs w:val="18"/>
              </w:rPr>
              <w:t>REQUISITANTE DA DEMANDA</w:t>
            </w:r>
          </w:p>
        </w:tc>
        <w:tc>
          <w:tcPr>
            <w:tcW w:w="2243"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Quando da seleção do fiscal do contrato a unidade demandante deve preferencialmente buscar selecionar aquele que tiver conhecimento do objeto a ser licitado, no tocante a obras e serviços conhecimento integralmente de termos de anteprojeto de engenharia ou projeto básico e demais estudos, os projetos de engenharia, bem como os termos do contrato. Quando o processo já está em andamento verificar da possibilidade de substituir fiscal que demonstre não ter conhecimento técnico.</w:t>
            </w:r>
          </w:p>
        </w:tc>
        <w:tc>
          <w:tcPr>
            <w:tcW w:w="1800"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val="000000"/>
                <w:sz w:val="18"/>
                <w:szCs w:val="18"/>
              </w:rPr>
              <w:t>REQUISITANTE DA DEMANDA; EQUIPE DE PLANEJAMENTO</w:t>
            </w:r>
          </w:p>
        </w:tc>
      </w:tr>
      <w:tr>
        <w:trPr>
          <w:trHeight w:val="960" w:hRule="atLeast"/>
        </w:trPr>
        <w:tc>
          <w:tcPr>
            <w:tcW w:w="522"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right"/>
              <w:textAlignment w:val="auto"/>
              <w:outlineLvl w:val="9"/>
              <w:rPr/>
            </w:pPr>
            <w:r>
              <w:rPr>
                <w:rFonts w:ascii="Calibri" w:hAnsi="Calibri"/>
                <w:color w:val="000000"/>
                <w:sz w:val="18"/>
                <w:szCs w:val="18"/>
              </w:rPr>
              <w:t>5</w:t>
            </w:r>
          </w:p>
        </w:tc>
        <w:tc>
          <w:tcPr>
            <w:tcW w:w="135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val="000000"/>
                <w:sz w:val="18"/>
                <w:szCs w:val="18"/>
              </w:rPr>
              <w:t>PLANEJAMENTO DA CONTRATAÇÃO</w:t>
            </w:r>
          </w:p>
        </w:tc>
        <w:tc>
          <w:tcPr>
            <w:tcW w:w="19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Contratações desalinhadas com o plano de contratação anual</w:t>
            </w:r>
          </w:p>
        </w:tc>
        <w:tc>
          <w:tcPr>
            <w:tcW w:w="1222" w:type="dxa"/>
            <w:tcBorders>
              <w:bottom w:val="single" w:sz="4" w:space="0" w:color="000000"/>
              <w:right w:val="single" w:sz="4" w:space="0" w:color="000000"/>
            </w:tcBorders>
            <w:shd w:color="000000" w:fill="FCE4D6" w:val="clear"/>
            <w:vAlign w:val="center"/>
          </w:tcPr>
          <w:p>
            <w:pPr>
              <w:pStyle w:val="Normal"/>
              <w:suppressAutoHyphens w:val="false"/>
              <w:spacing w:lineRule="auto" w:line="240"/>
              <w:ind w:hanging="0" w:left="0"/>
              <w:jc w:val="center"/>
              <w:textAlignment w:val="auto"/>
              <w:outlineLvl w:val="9"/>
              <w:rPr/>
            </w:pPr>
            <w:r>
              <w:rPr>
                <w:rFonts w:ascii="Calibri" w:hAnsi="Calibri"/>
                <w:b/>
                <w:bCs/>
                <w:color w:val="000000"/>
                <w:sz w:val="18"/>
                <w:szCs w:val="18"/>
              </w:rPr>
              <w:t>POUCO PROVAVEL</w:t>
            </w:r>
          </w:p>
        </w:tc>
        <w:tc>
          <w:tcPr>
            <w:tcW w:w="1655"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Descumprimento de formalidade legal</w:t>
            </w:r>
          </w:p>
        </w:tc>
        <w:tc>
          <w:tcPr>
            <w:tcW w:w="860" w:type="dxa"/>
            <w:tcBorders>
              <w:bottom w:val="single" w:sz="4" w:space="0" w:color="000000"/>
              <w:right w:val="single" w:sz="4" w:space="0" w:color="000000"/>
            </w:tcBorders>
            <w:shd w:color="000000" w:fill="B4C6E7" w:val="clear"/>
            <w:vAlign w:val="center"/>
          </w:tcPr>
          <w:p>
            <w:pPr>
              <w:pStyle w:val="Normal"/>
              <w:suppressAutoHyphens w:val="false"/>
              <w:spacing w:lineRule="auto" w:line="240"/>
              <w:ind w:hanging="0" w:left="0"/>
              <w:jc w:val="center"/>
              <w:textAlignment w:val="auto"/>
              <w:outlineLvl w:val="9"/>
              <w:rPr/>
            </w:pPr>
            <w:r>
              <w:rPr>
                <w:rFonts w:ascii="Calibri" w:hAnsi="Calibri"/>
                <w:b/>
                <w:bCs/>
                <w:color w:val="000000"/>
                <w:sz w:val="18"/>
                <w:szCs w:val="18"/>
              </w:rPr>
              <w:t>ALTO</w:t>
            </w:r>
          </w:p>
        </w:tc>
        <w:tc>
          <w:tcPr>
            <w:tcW w:w="263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Deve-se justificar no ETP a ausência da previsão no PAC da solução e proceder à compatibilização do Plano Anual de Contratações Vigente</w:t>
            </w:r>
          </w:p>
        </w:tc>
        <w:tc>
          <w:tcPr>
            <w:tcW w:w="14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val="000000"/>
                <w:sz w:val="18"/>
                <w:szCs w:val="18"/>
              </w:rPr>
              <w:t>EQUIPE DE PLANEJAMENTO</w:t>
            </w:r>
          </w:p>
        </w:tc>
        <w:tc>
          <w:tcPr>
            <w:tcW w:w="2243"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Revisar o ETP, mediante justificativa e submeter posterior aprovação da autoridade competente.</w:t>
            </w:r>
          </w:p>
        </w:tc>
        <w:tc>
          <w:tcPr>
            <w:tcW w:w="1800"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val="000000"/>
                <w:sz w:val="18"/>
                <w:szCs w:val="18"/>
              </w:rPr>
              <w:t>EQUIPE DE PLANEJAMENTO</w:t>
            </w:r>
          </w:p>
        </w:tc>
      </w:tr>
      <w:tr>
        <w:trPr>
          <w:trHeight w:val="2880" w:hRule="atLeast"/>
        </w:trPr>
        <w:tc>
          <w:tcPr>
            <w:tcW w:w="522"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right"/>
              <w:textAlignment w:val="auto"/>
              <w:outlineLvl w:val="9"/>
              <w:rPr/>
            </w:pPr>
            <w:r>
              <w:rPr>
                <w:rFonts w:ascii="Calibri" w:hAnsi="Calibri"/>
                <w:color w:val="000000"/>
                <w:sz w:val="18"/>
                <w:szCs w:val="18"/>
              </w:rPr>
              <w:t>6</w:t>
            </w:r>
          </w:p>
        </w:tc>
        <w:tc>
          <w:tcPr>
            <w:tcW w:w="135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val="000000"/>
                <w:sz w:val="18"/>
                <w:szCs w:val="18"/>
              </w:rPr>
              <w:t>PLANEJAMENTO DA CONTRATAÇÃO</w:t>
            </w:r>
          </w:p>
        </w:tc>
        <w:tc>
          <w:tcPr>
            <w:tcW w:w="19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Definição de requisitos da contratação insuficientes</w:t>
            </w:r>
          </w:p>
        </w:tc>
        <w:tc>
          <w:tcPr>
            <w:tcW w:w="1222" w:type="dxa"/>
            <w:tcBorders>
              <w:bottom w:val="single" w:sz="4" w:space="0" w:color="000000"/>
              <w:right w:val="single" w:sz="4" w:space="0" w:color="000000"/>
            </w:tcBorders>
            <w:shd w:color="000000" w:fill="FCE4D6" w:val="clear"/>
            <w:vAlign w:val="center"/>
          </w:tcPr>
          <w:p>
            <w:pPr>
              <w:pStyle w:val="Normal"/>
              <w:suppressAutoHyphens w:val="false"/>
              <w:spacing w:lineRule="auto" w:line="240"/>
              <w:ind w:hanging="0" w:left="0"/>
              <w:jc w:val="center"/>
              <w:textAlignment w:val="auto"/>
              <w:outlineLvl w:val="9"/>
              <w:rPr/>
            </w:pPr>
            <w:r>
              <w:rPr>
                <w:rFonts w:ascii="Calibri" w:hAnsi="Calibri"/>
                <w:b/>
                <w:bCs/>
                <w:color w:val="000000"/>
                <w:sz w:val="18"/>
                <w:szCs w:val="18"/>
              </w:rPr>
              <w:t>POUCO PROVAVEL</w:t>
            </w:r>
          </w:p>
        </w:tc>
        <w:tc>
          <w:tcPr>
            <w:tcW w:w="1655"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Descumprimento de formalidade legal, contratação de solução que não atende à necessidade que originou a contratação, com consequente desperdício de recursos (financeiro, pessoal) públicos</w:t>
            </w:r>
          </w:p>
        </w:tc>
        <w:tc>
          <w:tcPr>
            <w:tcW w:w="860" w:type="dxa"/>
            <w:tcBorders>
              <w:bottom w:val="single" w:sz="4" w:space="0" w:color="000000"/>
              <w:right w:val="single" w:sz="4" w:space="0" w:color="000000"/>
            </w:tcBorders>
            <w:shd w:color="000000" w:fill="B4C6E7" w:val="clear"/>
            <w:vAlign w:val="center"/>
          </w:tcPr>
          <w:p>
            <w:pPr>
              <w:pStyle w:val="Normal"/>
              <w:suppressAutoHyphens w:val="false"/>
              <w:spacing w:lineRule="auto" w:line="240"/>
              <w:ind w:hanging="0" w:left="0"/>
              <w:jc w:val="center"/>
              <w:textAlignment w:val="auto"/>
              <w:outlineLvl w:val="9"/>
              <w:rPr/>
            </w:pPr>
            <w:r>
              <w:rPr>
                <w:rFonts w:ascii="Calibri" w:hAnsi="Calibri"/>
                <w:b/>
                <w:bCs/>
                <w:color w:val="000000"/>
                <w:sz w:val="18"/>
                <w:szCs w:val="18"/>
              </w:rPr>
              <w:t>ALTO</w:t>
            </w:r>
          </w:p>
        </w:tc>
        <w:tc>
          <w:tcPr>
            <w:tcW w:w="263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Equipe de planejamento da contratação elabora quadro identificando as soluções de mercado (produtos, fornecedores, fabricantes etc.) que atendem aos requisitos especificados e, caso a quantidade de fornecedores seja considerada restrita, verifica se os requisitos que limitam a participação são realmente indispensáveis, de modo a avaliar a retirada ou flexibilização destes requisitos.</w:t>
            </w:r>
          </w:p>
        </w:tc>
        <w:tc>
          <w:tcPr>
            <w:tcW w:w="14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val="000000"/>
                <w:sz w:val="18"/>
                <w:szCs w:val="18"/>
              </w:rPr>
              <w:t>EQUIPE DE PLANEJAMENTO</w:t>
            </w:r>
          </w:p>
        </w:tc>
        <w:tc>
          <w:tcPr>
            <w:tcW w:w="2243"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Equipe de planejamento somente inicia elaboração do termo de referência ou projeto básico após a aprovação dos estudos técnicos preliminares.</w:t>
            </w:r>
          </w:p>
        </w:tc>
        <w:tc>
          <w:tcPr>
            <w:tcW w:w="1800"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val="000000"/>
                <w:sz w:val="18"/>
                <w:szCs w:val="18"/>
              </w:rPr>
              <w:t>EQUIPE DE PLANEJAMENTO</w:t>
            </w:r>
          </w:p>
        </w:tc>
      </w:tr>
      <w:tr>
        <w:trPr>
          <w:trHeight w:val="1169" w:hRule="atLeast"/>
        </w:trPr>
        <w:tc>
          <w:tcPr>
            <w:tcW w:w="522"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right"/>
              <w:textAlignment w:val="auto"/>
              <w:outlineLvl w:val="9"/>
              <w:rPr/>
            </w:pPr>
            <w:r>
              <w:rPr>
                <w:rFonts w:ascii="Calibri" w:hAnsi="Calibri"/>
                <w:color w:val="000000"/>
                <w:sz w:val="18"/>
                <w:szCs w:val="18"/>
              </w:rPr>
              <w:t>7</w:t>
            </w:r>
          </w:p>
        </w:tc>
        <w:tc>
          <w:tcPr>
            <w:tcW w:w="135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val="000000"/>
                <w:sz w:val="18"/>
                <w:szCs w:val="18"/>
              </w:rPr>
              <w:t>PLANEJAMENTO DA CONTRATAÇÃO</w:t>
            </w:r>
          </w:p>
        </w:tc>
        <w:tc>
          <w:tcPr>
            <w:tcW w:w="19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Quantidades e especificações indevidas ou incorretas</w:t>
            </w:r>
          </w:p>
        </w:tc>
        <w:tc>
          <w:tcPr>
            <w:tcW w:w="1222" w:type="dxa"/>
            <w:tcBorders>
              <w:bottom w:val="single" w:sz="4" w:space="0" w:color="000000"/>
              <w:right w:val="single" w:sz="4" w:space="0" w:color="000000"/>
            </w:tcBorders>
            <w:shd w:color="000000" w:fill="FCE4D6" w:val="clear"/>
            <w:vAlign w:val="center"/>
          </w:tcPr>
          <w:p>
            <w:pPr>
              <w:pStyle w:val="Normal"/>
              <w:suppressAutoHyphens w:val="false"/>
              <w:spacing w:lineRule="auto" w:line="240"/>
              <w:ind w:hanging="0" w:left="0"/>
              <w:jc w:val="center"/>
              <w:textAlignment w:val="auto"/>
              <w:outlineLvl w:val="9"/>
              <w:rPr/>
            </w:pPr>
            <w:r>
              <w:rPr>
                <w:rFonts w:ascii="Calibri" w:hAnsi="Calibri"/>
                <w:b/>
                <w:bCs/>
                <w:color w:val="000000"/>
                <w:sz w:val="18"/>
                <w:szCs w:val="18"/>
              </w:rPr>
              <w:t>PROVAVEL</w:t>
            </w:r>
          </w:p>
        </w:tc>
        <w:tc>
          <w:tcPr>
            <w:tcW w:w="1655"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Contratação e execução deficiente do objeto</w:t>
            </w:r>
          </w:p>
        </w:tc>
        <w:tc>
          <w:tcPr>
            <w:tcW w:w="860" w:type="dxa"/>
            <w:tcBorders>
              <w:bottom w:val="single" w:sz="4" w:space="0" w:color="000000"/>
              <w:right w:val="single" w:sz="4" w:space="0" w:color="000000"/>
            </w:tcBorders>
            <w:shd w:color="000000" w:fill="B4C6E7" w:val="clear"/>
            <w:vAlign w:val="center"/>
          </w:tcPr>
          <w:p>
            <w:pPr>
              <w:pStyle w:val="Normal"/>
              <w:suppressAutoHyphens w:val="false"/>
              <w:spacing w:lineRule="auto" w:line="240"/>
              <w:ind w:hanging="0" w:left="0"/>
              <w:jc w:val="center"/>
              <w:textAlignment w:val="auto"/>
              <w:outlineLvl w:val="9"/>
              <w:rPr/>
            </w:pPr>
            <w:r>
              <w:rPr>
                <w:rFonts w:ascii="Calibri" w:hAnsi="Calibri"/>
                <w:b/>
                <w:bCs/>
                <w:color w:val="000000"/>
                <w:sz w:val="18"/>
                <w:szCs w:val="18"/>
              </w:rPr>
              <w:t>MUITO ALTO</w:t>
            </w:r>
          </w:p>
        </w:tc>
        <w:tc>
          <w:tcPr>
            <w:tcW w:w="263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Verificar se o objeto foi especificado adequadamente, contemplando as áreas internas e externas corretamente</w:t>
            </w:r>
          </w:p>
        </w:tc>
        <w:tc>
          <w:tcPr>
            <w:tcW w:w="14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val="000000"/>
                <w:sz w:val="18"/>
                <w:szCs w:val="18"/>
              </w:rPr>
              <w:t>EQUIPE DE PLANEJAMENTO</w:t>
            </w:r>
          </w:p>
        </w:tc>
        <w:tc>
          <w:tcPr>
            <w:tcW w:w="2243"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Complementação das informações nos Estudos Preliminares e correção da inconsistência durante a elaboração do Termo de Referência</w:t>
            </w:r>
          </w:p>
        </w:tc>
        <w:tc>
          <w:tcPr>
            <w:tcW w:w="1800"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val="000000"/>
                <w:sz w:val="18"/>
                <w:szCs w:val="18"/>
              </w:rPr>
              <w:t>EQUIPE DE PLANEJAMENTO; REQUISITANTE DA DEMANDA</w:t>
            </w:r>
          </w:p>
        </w:tc>
      </w:tr>
      <w:tr>
        <w:trPr>
          <w:trHeight w:val="1440" w:hRule="atLeast"/>
        </w:trPr>
        <w:tc>
          <w:tcPr>
            <w:tcW w:w="522"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right"/>
              <w:textAlignment w:val="auto"/>
              <w:outlineLvl w:val="9"/>
              <w:rPr/>
            </w:pPr>
            <w:r>
              <w:rPr>
                <w:rFonts w:ascii="Calibri" w:hAnsi="Calibri"/>
                <w:color w:val="000000"/>
                <w:sz w:val="18"/>
                <w:szCs w:val="18"/>
              </w:rPr>
              <w:t>8</w:t>
            </w:r>
          </w:p>
        </w:tc>
        <w:tc>
          <w:tcPr>
            <w:tcW w:w="135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val="000000"/>
                <w:sz w:val="18"/>
                <w:szCs w:val="18"/>
              </w:rPr>
              <w:t>PLANEJAMENTO DA CONTRATAÇÃO</w:t>
            </w:r>
          </w:p>
        </w:tc>
        <w:tc>
          <w:tcPr>
            <w:tcW w:w="19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Pesquisa de mercado insuficiente ou com problemas</w:t>
            </w:r>
          </w:p>
        </w:tc>
        <w:tc>
          <w:tcPr>
            <w:tcW w:w="1222" w:type="dxa"/>
            <w:tcBorders>
              <w:bottom w:val="single" w:sz="4" w:space="0" w:color="000000"/>
              <w:right w:val="single" w:sz="4" w:space="0" w:color="000000"/>
            </w:tcBorders>
            <w:shd w:color="000000" w:fill="FCE4D6" w:val="clear"/>
            <w:vAlign w:val="center"/>
          </w:tcPr>
          <w:p>
            <w:pPr>
              <w:pStyle w:val="Normal"/>
              <w:suppressAutoHyphens w:val="false"/>
              <w:spacing w:lineRule="auto" w:line="240"/>
              <w:ind w:hanging="0" w:left="0"/>
              <w:jc w:val="center"/>
              <w:textAlignment w:val="auto"/>
              <w:outlineLvl w:val="9"/>
              <w:rPr/>
            </w:pPr>
            <w:r>
              <w:rPr>
                <w:rFonts w:ascii="Calibri" w:hAnsi="Calibri"/>
                <w:b/>
                <w:bCs/>
                <w:color w:val="000000"/>
                <w:sz w:val="18"/>
                <w:szCs w:val="18"/>
              </w:rPr>
              <w:t>PROVAVEL</w:t>
            </w:r>
          </w:p>
        </w:tc>
        <w:tc>
          <w:tcPr>
            <w:tcW w:w="1655"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Não atendimento ao princípio da economicidade. Contrato sobre precificado ou inexequível</w:t>
            </w:r>
          </w:p>
        </w:tc>
        <w:tc>
          <w:tcPr>
            <w:tcW w:w="860" w:type="dxa"/>
            <w:tcBorders>
              <w:bottom w:val="single" w:sz="4" w:space="0" w:color="000000"/>
              <w:right w:val="single" w:sz="4" w:space="0" w:color="000000"/>
            </w:tcBorders>
            <w:shd w:color="000000" w:fill="B4C6E7" w:val="clear"/>
            <w:vAlign w:val="center"/>
          </w:tcPr>
          <w:p>
            <w:pPr>
              <w:pStyle w:val="Normal"/>
              <w:suppressAutoHyphens w:val="false"/>
              <w:spacing w:lineRule="auto" w:line="240"/>
              <w:ind w:hanging="0" w:left="0"/>
              <w:jc w:val="center"/>
              <w:textAlignment w:val="auto"/>
              <w:outlineLvl w:val="9"/>
              <w:rPr/>
            </w:pPr>
            <w:r>
              <w:rPr>
                <w:rFonts w:ascii="Calibri" w:hAnsi="Calibri"/>
                <w:b/>
                <w:bCs/>
                <w:color w:val="000000"/>
                <w:sz w:val="18"/>
                <w:szCs w:val="18"/>
              </w:rPr>
              <w:t>MUITO ALTO</w:t>
            </w:r>
          </w:p>
        </w:tc>
        <w:tc>
          <w:tcPr>
            <w:tcW w:w="263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Acompanhar as normas e legislação vigentes aplicáveis à pesquisa de mercado, realizar pesquisa de preço, utilizar variadas fontes de preços e manter a pesquisa de mercado atualizada.</w:t>
            </w:r>
          </w:p>
        </w:tc>
        <w:tc>
          <w:tcPr>
            <w:tcW w:w="14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val="000000"/>
                <w:sz w:val="18"/>
                <w:szCs w:val="18"/>
              </w:rPr>
              <w:t>EQUIPE DE PLANEJAMENTO</w:t>
            </w:r>
          </w:p>
        </w:tc>
        <w:tc>
          <w:tcPr>
            <w:tcW w:w="2243"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Realizar ou revalidar a pesquisa de mercado; Refazer e revalidar a pesquisa de mercado, sempre com um olhar crítico sobre a pesquisa anterior para não repetir os erros</w:t>
            </w:r>
          </w:p>
        </w:tc>
        <w:tc>
          <w:tcPr>
            <w:tcW w:w="1800"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val="000000"/>
                <w:sz w:val="18"/>
                <w:szCs w:val="18"/>
              </w:rPr>
              <w:t>EQUIPE DE PLANEJAMENTO</w:t>
            </w:r>
          </w:p>
        </w:tc>
      </w:tr>
      <w:tr>
        <w:trPr>
          <w:trHeight w:val="720" w:hRule="atLeast"/>
        </w:trPr>
        <w:tc>
          <w:tcPr>
            <w:tcW w:w="522"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right"/>
              <w:textAlignment w:val="auto"/>
              <w:outlineLvl w:val="9"/>
              <w:rPr/>
            </w:pPr>
            <w:r>
              <w:rPr>
                <w:rFonts w:ascii="Calibri" w:hAnsi="Calibri"/>
                <w:color w:val="000000"/>
                <w:sz w:val="18"/>
                <w:szCs w:val="18"/>
              </w:rPr>
              <w:t>9</w:t>
            </w:r>
          </w:p>
        </w:tc>
        <w:tc>
          <w:tcPr>
            <w:tcW w:w="135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val="000000"/>
                <w:sz w:val="18"/>
                <w:szCs w:val="18"/>
              </w:rPr>
              <w:t>PLANEJAMENTO DA CONTRATAÇÃO</w:t>
            </w:r>
          </w:p>
        </w:tc>
        <w:tc>
          <w:tcPr>
            <w:tcW w:w="19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Ausência de ato designatório da equipe de Planejamento de Contratação</w:t>
            </w:r>
          </w:p>
        </w:tc>
        <w:tc>
          <w:tcPr>
            <w:tcW w:w="1222" w:type="dxa"/>
            <w:tcBorders>
              <w:bottom w:val="single" w:sz="4" w:space="0" w:color="000000"/>
              <w:right w:val="single" w:sz="4" w:space="0" w:color="000000"/>
            </w:tcBorders>
            <w:shd w:color="000000" w:fill="FCE4D6" w:val="clear"/>
            <w:vAlign w:val="center"/>
          </w:tcPr>
          <w:p>
            <w:pPr>
              <w:pStyle w:val="Normal"/>
              <w:suppressAutoHyphens w:val="false"/>
              <w:spacing w:lineRule="auto" w:line="240"/>
              <w:ind w:hanging="0" w:left="0"/>
              <w:jc w:val="center"/>
              <w:textAlignment w:val="auto"/>
              <w:outlineLvl w:val="9"/>
              <w:rPr/>
            </w:pPr>
            <w:r>
              <w:rPr>
                <w:rFonts w:ascii="Calibri" w:hAnsi="Calibri"/>
                <w:b/>
                <w:bCs/>
                <w:color w:val="000000"/>
                <w:sz w:val="18"/>
                <w:szCs w:val="18"/>
              </w:rPr>
              <w:t>POUCO PROVAVEL</w:t>
            </w:r>
          </w:p>
        </w:tc>
        <w:tc>
          <w:tcPr>
            <w:tcW w:w="1655"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Descumprimento de formalidade legal.</w:t>
            </w:r>
          </w:p>
        </w:tc>
        <w:tc>
          <w:tcPr>
            <w:tcW w:w="860" w:type="dxa"/>
            <w:tcBorders>
              <w:bottom w:val="single" w:sz="4" w:space="0" w:color="000000"/>
              <w:right w:val="single" w:sz="4" w:space="0" w:color="000000"/>
            </w:tcBorders>
            <w:shd w:color="000000" w:fill="B4C6E7" w:val="clear"/>
            <w:vAlign w:val="center"/>
          </w:tcPr>
          <w:p>
            <w:pPr>
              <w:pStyle w:val="Normal"/>
              <w:suppressAutoHyphens w:val="false"/>
              <w:spacing w:lineRule="auto" w:line="240"/>
              <w:ind w:hanging="0" w:left="0"/>
              <w:jc w:val="center"/>
              <w:textAlignment w:val="auto"/>
              <w:outlineLvl w:val="9"/>
              <w:rPr/>
            </w:pPr>
            <w:r>
              <w:rPr>
                <w:rFonts w:ascii="Calibri" w:hAnsi="Calibri"/>
                <w:b/>
                <w:bCs/>
                <w:color w:val="000000"/>
                <w:sz w:val="18"/>
                <w:szCs w:val="18"/>
              </w:rPr>
              <w:t>BAIXO</w:t>
            </w:r>
          </w:p>
        </w:tc>
        <w:tc>
          <w:tcPr>
            <w:tcW w:w="263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Adotar checklist dos procedimentos a serem adotados para o planejamento de contratação</w:t>
            </w:r>
          </w:p>
        </w:tc>
        <w:tc>
          <w:tcPr>
            <w:tcW w:w="14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val="000000"/>
                <w:sz w:val="18"/>
                <w:szCs w:val="18"/>
              </w:rPr>
              <w:t>AUTORIDADE COMPETENTE</w:t>
            </w:r>
          </w:p>
        </w:tc>
        <w:tc>
          <w:tcPr>
            <w:tcW w:w="2243"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Providenciar o ato de designação formal da equipe de planejamento</w:t>
            </w:r>
          </w:p>
        </w:tc>
        <w:tc>
          <w:tcPr>
            <w:tcW w:w="1800"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val="000000"/>
                <w:sz w:val="18"/>
                <w:szCs w:val="18"/>
              </w:rPr>
              <w:t>AUTORIDADE COMPETENTE</w:t>
            </w:r>
          </w:p>
        </w:tc>
      </w:tr>
      <w:tr>
        <w:trPr>
          <w:trHeight w:val="720" w:hRule="atLeast"/>
        </w:trPr>
        <w:tc>
          <w:tcPr>
            <w:tcW w:w="522"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right"/>
              <w:textAlignment w:val="auto"/>
              <w:outlineLvl w:val="9"/>
              <w:rPr/>
            </w:pPr>
            <w:r>
              <w:rPr>
                <w:rFonts w:ascii="Calibri" w:hAnsi="Calibri"/>
                <w:color w:themeColor="dark1" w:val="000000"/>
                <w:sz w:val="18"/>
                <w:szCs w:val="18"/>
              </w:rPr>
              <w:t>10</w:t>
            </w:r>
          </w:p>
        </w:tc>
        <w:tc>
          <w:tcPr>
            <w:tcW w:w="135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themeColor="dark1" w:val="000000"/>
                <w:sz w:val="18"/>
                <w:szCs w:val="18"/>
              </w:rPr>
              <w:t>PLANEJAMENTO DA CONTRATAÇÃO</w:t>
            </w:r>
          </w:p>
        </w:tc>
        <w:tc>
          <w:tcPr>
            <w:tcW w:w="19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themeColor="dark1" w:val="000000"/>
                <w:sz w:val="18"/>
                <w:szCs w:val="18"/>
              </w:rPr>
              <w:t>Estudos preliminares deficientes</w:t>
            </w:r>
          </w:p>
        </w:tc>
        <w:tc>
          <w:tcPr>
            <w:tcW w:w="1222" w:type="dxa"/>
            <w:tcBorders>
              <w:bottom w:val="single" w:sz="4" w:space="0" w:color="000000"/>
              <w:right w:val="single" w:sz="4" w:space="0" w:color="000000"/>
            </w:tcBorders>
            <w:shd w:color="000000" w:fill="FCE4D6" w:val="clear"/>
            <w:vAlign w:val="center"/>
          </w:tcPr>
          <w:p>
            <w:pPr>
              <w:pStyle w:val="Normal"/>
              <w:suppressAutoHyphens w:val="false"/>
              <w:spacing w:lineRule="auto" w:line="240"/>
              <w:ind w:hanging="0" w:left="0"/>
              <w:jc w:val="center"/>
              <w:textAlignment w:val="auto"/>
              <w:outlineLvl w:val="9"/>
              <w:rPr/>
            </w:pPr>
            <w:r>
              <w:rPr>
                <w:rFonts w:ascii="Calibri" w:hAnsi="Calibri"/>
                <w:b/>
                <w:bCs/>
                <w:color w:themeColor="dark1" w:val="000000"/>
                <w:sz w:val="18"/>
                <w:szCs w:val="18"/>
              </w:rPr>
              <w:t>PROVAVEL</w:t>
            </w:r>
          </w:p>
        </w:tc>
        <w:tc>
          <w:tcPr>
            <w:tcW w:w="1655"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themeColor="dark1" w:val="000000"/>
                <w:sz w:val="18"/>
                <w:szCs w:val="18"/>
              </w:rPr>
              <w:t>Licitação fracassada, deserta ou contratação deficiente, gastos com processo licitatório</w:t>
            </w:r>
          </w:p>
        </w:tc>
        <w:tc>
          <w:tcPr>
            <w:tcW w:w="860" w:type="dxa"/>
            <w:tcBorders>
              <w:bottom w:val="single" w:sz="4" w:space="0" w:color="000000"/>
              <w:right w:val="single" w:sz="4" w:space="0" w:color="000000"/>
            </w:tcBorders>
            <w:shd w:color="000000" w:fill="B4C6E7" w:val="clear"/>
            <w:vAlign w:val="center"/>
          </w:tcPr>
          <w:p>
            <w:pPr>
              <w:pStyle w:val="Normal"/>
              <w:suppressAutoHyphens w:val="false"/>
              <w:spacing w:lineRule="auto" w:line="240"/>
              <w:ind w:hanging="0" w:left="0"/>
              <w:jc w:val="center"/>
              <w:textAlignment w:val="auto"/>
              <w:outlineLvl w:val="9"/>
              <w:rPr/>
            </w:pPr>
            <w:r>
              <w:rPr>
                <w:rFonts w:ascii="Calibri" w:hAnsi="Calibri"/>
                <w:b/>
                <w:bCs/>
                <w:color w:themeColor="dark1" w:val="000000"/>
                <w:sz w:val="18"/>
                <w:szCs w:val="18"/>
              </w:rPr>
              <w:t>ALTO</w:t>
            </w:r>
          </w:p>
        </w:tc>
        <w:tc>
          <w:tcPr>
            <w:tcW w:w="263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themeColor="dark1" w:val="000000"/>
                <w:sz w:val="18"/>
                <w:szCs w:val="18"/>
              </w:rPr>
              <w:t>Elaborar checklist que contemple, no que couber, os requisitos do</w:t>
            </w:r>
            <w:r>
              <w:rPr>
                <w:rFonts w:ascii="Calibri" w:hAnsi="Calibri"/>
                <w:b/>
                <w:bCs/>
                <w:color w:themeColor="dark1" w:val="000000"/>
                <w:sz w:val="18"/>
                <w:szCs w:val="18"/>
              </w:rPr>
              <w:t xml:space="preserve"> Decreto 3.537/2023</w:t>
            </w:r>
          </w:p>
        </w:tc>
        <w:tc>
          <w:tcPr>
            <w:tcW w:w="14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themeColor="dark1" w:val="000000"/>
                <w:sz w:val="18"/>
                <w:szCs w:val="18"/>
              </w:rPr>
              <w:t>EQUIPE DE PLANEJAMENTO</w:t>
            </w:r>
          </w:p>
        </w:tc>
        <w:tc>
          <w:tcPr>
            <w:tcW w:w="2243"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themeColor="dark1" w:val="000000"/>
                <w:sz w:val="18"/>
                <w:szCs w:val="18"/>
              </w:rPr>
              <w:t>Corrigir as deficiências detectadas nos estudos preliminares</w:t>
            </w:r>
          </w:p>
        </w:tc>
        <w:tc>
          <w:tcPr>
            <w:tcW w:w="1800"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themeColor="dark1" w:val="000000"/>
                <w:sz w:val="18"/>
                <w:szCs w:val="18"/>
              </w:rPr>
              <w:t>EQUIPE DE PLANEJAMENTO</w:t>
            </w:r>
          </w:p>
        </w:tc>
      </w:tr>
      <w:tr>
        <w:trPr>
          <w:trHeight w:val="720" w:hRule="atLeast"/>
        </w:trPr>
        <w:tc>
          <w:tcPr>
            <w:tcW w:w="522"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right"/>
              <w:textAlignment w:val="auto"/>
              <w:outlineLvl w:val="9"/>
              <w:rPr/>
            </w:pPr>
            <w:r>
              <w:rPr>
                <w:rFonts w:ascii="Calibri" w:hAnsi="Calibri"/>
                <w:color w:val="000000"/>
                <w:sz w:val="18"/>
                <w:szCs w:val="18"/>
              </w:rPr>
              <w:t>11</w:t>
            </w:r>
          </w:p>
        </w:tc>
        <w:tc>
          <w:tcPr>
            <w:tcW w:w="135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val="000000"/>
                <w:sz w:val="18"/>
                <w:szCs w:val="18"/>
              </w:rPr>
              <w:t>PLANEJAMENTO DA CONTRATAÇÃO</w:t>
            </w:r>
          </w:p>
        </w:tc>
        <w:tc>
          <w:tcPr>
            <w:tcW w:w="19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Indisponibilidade de recursos orçamentários e/ou financeiros</w:t>
            </w:r>
          </w:p>
        </w:tc>
        <w:tc>
          <w:tcPr>
            <w:tcW w:w="1222" w:type="dxa"/>
            <w:tcBorders>
              <w:bottom w:val="single" w:sz="4" w:space="0" w:color="000000"/>
              <w:right w:val="single" w:sz="4" w:space="0" w:color="000000"/>
            </w:tcBorders>
            <w:shd w:color="000000" w:fill="FCE4D6" w:val="clear"/>
            <w:vAlign w:val="center"/>
          </w:tcPr>
          <w:p>
            <w:pPr>
              <w:pStyle w:val="Normal"/>
              <w:suppressAutoHyphens w:val="false"/>
              <w:spacing w:lineRule="auto" w:line="240"/>
              <w:ind w:hanging="0" w:left="0"/>
              <w:jc w:val="center"/>
              <w:textAlignment w:val="auto"/>
              <w:outlineLvl w:val="9"/>
              <w:rPr/>
            </w:pPr>
            <w:r>
              <w:rPr>
                <w:rFonts w:ascii="Calibri" w:hAnsi="Calibri"/>
                <w:b/>
                <w:bCs/>
                <w:color w:val="000000"/>
                <w:sz w:val="18"/>
                <w:szCs w:val="18"/>
              </w:rPr>
              <w:t>POUCO PROVAVEL</w:t>
            </w:r>
          </w:p>
        </w:tc>
        <w:tc>
          <w:tcPr>
            <w:tcW w:w="1655"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Ineficiente</w:t>
            </w:r>
          </w:p>
        </w:tc>
        <w:tc>
          <w:tcPr>
            <w:tcW w:w="860" w:type="dxa"/>
            <w:tcBorders>
              <w:bottom w:val="single" w:sz="4" w:space="0" w:color="000000"/>
              <w:right w:val="single" w:sz="4" w:space="0" w:color="000000"/>
            </w:tcBorders>
            <w:shd w:color="000000" w:fill="B4C6E7" w:val="clear"/>
            <w:vAlign w:val="center"/>
          </w:tcPr>
          <w:p>
            <w:pPr>
              <w:pStyle w:val="Normal"/>
              <w:suppressAutoHyphens w:val="false"/>
              <w:spacing w:lineRule="auto" w:line="240"/>
              <w:ind w:hanging="0" w:left="0"/>
              <w:jc w:val="center"/>
              <w:textAlignment w:val="auto"/>
              <w:outlineLvl w:val="9"/>
              <w:rPr/>
            </w:pPr>
            <w:r>
              <w:rPr>
                <w:rFonts w:ascii="Calibri" w:hAnsi="Calibri"/>
                <w:b/>
                <w:bCs/>
                <w:color w:val="000000"/>
                <w:sz w:val="18"/>
                <w:szCs w:val="18"/>
              </w:rPr>
              <w:t>ALTO</w:t>
            </w:r>
          </w:p>
        </w:tc>
        <w:tc>
          <w:tcPr>
            <w:tcW w:w="263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Diálogo prévio e gestão com vistas ao provimento dos recursos necessários a contratação.</w:t>
            </w:r>
          </w:p>
        </w:tc>
        <w:tc>
          <w:tcPr>
            <w:tcW w:w="14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val="000000"/>
                <w:sz w:val="18"/>
                <w:szCs w:val="18"/>
              </w:rPr>
              <w:t>EQUIPE DE PLANEJAMENTO; REQUISITANTE DA DEMANDA; AUTORIDADE COMPETENTE</w:t>
            </w:r>
          </w:p>
        </w:tc>
        <w:tc>
          <w:tcPr>
            <w:tcW w:w="2243"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Realizar planejamento orçamentário a fim de consumar a aquisição da solução pretendida.</w:t>
            </w:r>
          </w:p>
        </w:tc>
        <w:tc>
          <w:tcPr>
            <w:tcW w:w="1800"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val="000000"/>
                <w:sz w:val="18"/>
                <w:szCs w:val="18"/>
              </w:rPr>
              <w:t>AUTORIDADE COMPETENTE</w:t>
            </w:r>
          </w:p>
        </w:tc>
      </w:tr>
      <w:tr>
        <w:trPr>
          <w:trHeight w:val="720" w:hRule="atLeast"/>
        </w:trPr>
        <w:tc>
          <w:tcPr>
            <w:tcW w:w="522"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right"/>
              <w:textAlignment w:val="auto"/>
              <w:outlineLvl w:val="9"/>
              <w:rPr/>
            </w:pPr>
            <w:r>
              <w:rPr>
                <w:rFonts w:ascii="Calibri" w:hAnsi="Calibri"/>
                <w:color w:val="000000"/>
                <w:sz w:val="18"/>
                <w:szCs w:val="18"/>
              </w:rPr>
              <w:t>12</w:t>
            </w:r>
          </w:p>
        </w:tc>
        <w:tc>
          <w:tcPr>
            <w:tcW w:w="135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val="000000"/>
                <w:sz w:val="18"/>
                <w:szCs w:val="18"/>
              </w:rPr>
              <w:t>PLANEJAMENTO DA CONTRATAÇÃO</w:t>
            </w:r>
          </w:p>
        </w:tc>
        <w:tc>
          <w:tcPr>
            <w:tcW w:w="19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Ausência de justificativa de cotas para ME/EPP E COOPERATIVAS</w:t>
            </w:r>
          </w:p>
        </w:tc>
        <w:tc>
          <w:tcPr>
            <w:tcW w:w="1222" w:type="dxa"/>
            <w:tcBorders>
              <w:bottom w:val="single" w:sz="4" w:space="0" w:color="000000"/>
              <w:right w:val="single" w:sz="4" w:space="0" w:color="000000"/>
            </w:tcBorders>
            <w:shd w:color="000000" w:fill="FCE4D6" w:val="clear"/>
            <w:vAlign w:val="center"/>
          </w:tcPr>
          <w:p>
            <w:pPr>
              <w:pStyle w:val="Normal"/>
              <w:suppressAutoHyphens w:val="false"/>
              <w:spacing w:lineRule="auto" w:line="240"/>
              <w:ind w:hanging="0" w:left="0"/>
              <w:jc w:val="center"/>
              <w:textAlignment w:val="auto"/>
              <w:outlineLvl w:val="9"/>
              <w:rPr/>
            </w:pPr>
            <w:r>
              <w:rPr>
                <w:rFonts w:ascii="Calibri" w:hAnsi="Calibri"/>
                <w:b/>
                <w:bCs/>
                <w:color w:val="000000"/>
                <w:sz w:val="18"/>
                <w:szCs w:val="18"/>
              </w:rPr>
              <w:t>POUCO PROVAVEL</w:t>
            </w:r>
          </w:p>
        </w:tc>
        <w:tc>
          <w:tcPr>
            <w:tcW w:w="1655"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Descumprimento de formalidade legal</w:t>
            </w:r>
          </w:p>
        </w:tc>
        <w:tc>
          <w:tcPr>
            <w:tcW w:w="860" w:type="dxa"/>
            <w:tcBorders>
              <w:bottom w:val="single" w:sz="4" w:space="0" w:color="000000"/>
              <w:right w:val="single" w:sz="4" w:space="0" w:color="000000"/>
            </w:tcBorders>
            <w:shd w:color="000000" w:fill="B4C6E7" w:val="clear"/>
            <w:vAlign w:val="center"/>
          </w:tcPr>
          <w:p>
            <w:pPr>
              <w:pStyle w:val="Normal"/>
              <w:suppressAutoHyphens w:val="false"/>
              <w:spacing w:lineRule="auto" w:line="240"/>
              <w:ind w:hanging="0" w:left="0"/>
              <w:jc w:val="center"/>
              <w:textAlignment w:val="auto"/>
              <w:outlineLvl w:val="9"/>
              <w:rPr/>
            </w:pPr>
            <w:r>
              <w:rPr>
                <w:rFonts w:ascii="Calibri" w:hAnsi="Calibri"/>
                <w:b/>
                <w:bCs/>
                <w:color w:val="000000"/>
                <w:sz w:val="18"/>
                <w:szCs w:val="18"/>
              </w:rPr>
              <w:t>ALTO</w:t>
            </w:r>
          </w:p>
        </w:tc>
        <w:tc>
          <w:tcPr>
            <w:tcW w:w="263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Incluir em ETP tópico especifico para tratar do tema</w:t>
            </w:r>
          </w:p>
        </w:tc>
        <w:tc>
          <w:tcPr>
            <w:tcW w:w="14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val="000000"/>
                <w:sz w:val="18"/>
                <w:szCs w:val="18"/>
              </w:rPr>
              <w:t>EQUIPE DE PLANEJAMENTO</w:t>
            </w:r>
          </w:p>
        </w:tc>
        <w:tc>
          <w:tcPr>
            <w:tcW w:w="2243"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Reforçar da necessidade de atribuir tratamento benéfico às microempresas e empresas de pequeno porte.</w:t>
            </w:r>
          </w:p>
        </w:tc>
        <w:tc>
          <w:tcPr>
            <w:tcW w:w="1800"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val="000000"/>
                <w:sz w:val="18"/>
                <w:szCs w:val="18"/>
              </w:rPr>
              <w:t>EQUIPE DE PLANEJAMENTO</w:t>
            </w:r>
          </w:p>
        </w:tc>
      </w:tr>
      <w:tr>
        <w:trPr>
          <w:trHeight w:val="1440" w:hRule="atLeast"/>
        </w:trPr>
        <w:tc>
          <w:tcPr>
            <w:tcW w:w="522"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right"/>
              <w:textAlignment w:val="auto"/>
              <w:outlineLvl w:val="9"/>
              <w:rPr/>
            </w:pPr>
            <w:r>
              <w:rPr>
                <w:rFonts w:ascii="Calibri" w:hAnsi="Calibri"/>
                <w:color w:val="000000"/>
                <w:sz w:val="18"/>
                <w:szCs w:val="18"/>
              </w:rPr>
              <w:t>13</w:t>
            </w:r>
          </w:p>
        </w:tc>
        <w:tc>
          <w:tcPr>
            <w:tcW w:w="135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val="000000"/>
                <w:sz w:val="18"/>
                <w:szCs w:val="18"/>
              </w:rPr>
              <w:t>PLANEJAMENTO DA CONTRATAÇÃO</w:t>
            </w:r>
          </w:p>
        </w:tc>
        <w:tc>
          <w:tcPr>
            <w:tcW w:w="19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Baixa prioridade nas aquisições e contratações sustentáveis</w:t>
            </w:r>
          </w:p>
        </w:tc>
        <w:tc>
          <w:tcPr>
            <w:tcW w:w="1222" w:type="dxa"/>
            <w:tcBorders>
              <w:bottom w:val="single" w:sz="4" w:space="0" w:color="000000"/>
              <w:right w:val="single" w:sz="4" w:space="0" w:color="000000"/>
            </w:tcBorders>
            <w:shd w:color="000000" w:fill="FCE4D6" w:val="clear"/>
            <w:vAlign w:val="center"/>
          </w:tcPr>
          <w:p>
            <w:pPr>
              <w:pStyle w:val="Normal"/>
              <w:suppressAutoHyphens w:val="false"/>
              <w:spacing w:lineRule="auto" w:line="240"/>
              <w:ind w:hanging="0" w:left="0"/>
              <w:jc w:val="center"/>
              <w:textAlignment w:val="auto"/>
              <w:outlineLvl w:val="9"/>
              <w:rPr/>
            </w:pPr>
            <w:r>
              <w:rPr>
                <w:rFonts w:ascii="Calibri" w:hAnsi="Calibri"/>
                <w:b/>
                <w:bCs/>
                <w:color w:val="000000"/>
                <w:sz w:val="18"/>
                <w:szCs w:val="18"/>
              </w:rPr>
              <w:t>POUCO PROVAVEL</w:t>
            </w:r>
          </w:p>
        </w:tc>
        <w:tc>
          <w:tcPr>
            <w:tcW w:w="1655"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Ausência de aferição de critérios de sustentabilidade ambiental e qualificação energética nos processos licitatórios.</w:t>
            </w:r>
          </w:p>
        </w:tc>
        <w:tc>
          <w:tcPr>
            <w:tcW w:w="860" w:type="dxa"/>
            <w:tcBorders>
              <w:bottom w:val="single" w:sz="4" w:space="0" w:color="000000"/>
              <w:right w:val="single" w:sz="4" w:space="0" w:color="000000"/>
            </w:tcBorders>
            <w:shd w:color="000000" w:fill="B4C6E7" w:val="clear"/>
            <w:vAlign w:val="center"/>
          </w:tcPr>
          <w:p>
            <w:pPr>
              <w:pStyle w:val="Normal"/>
              <w:suppressAutoHyphens w:val="false"/>
              <w:spacing w:lineRule="auto" w:line="240"/>
              <w:ind w:hanging="0" w:left="0"/>
              <w:jc w:val="center"/>
              <w:textAlignment w:val="auto"/>
              <w:outlineLvl w:val="9"/>
              <w:rPr/>
            </w:pPr>
            <w:r>
              <w:rPr>
                <w:rFonts w:ascii="Calibri" w:hAnsi="Calibri"/>
                <w:b/>
                <w:bCs/>
                <w:color w:val="000000"/>
                <w:sz w:val="18"/>
                <w:szCs w:val="18"/>
              </w:rPr>
              <w:t>ALTO</w:t>
            </w:r>
          </w:p>
        </w:tc>
        <w:tc>
          <w:tcPr>
            <w:tcW w:w="263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Criação da Comissão de Gestão Socioambiental, a fim de elaborar Plano de Logística Sustentável.</w:t>
            </w:r>
          </w:p>
        </w:tc>
        <w:tc>
          <w:tcPr>
            <w:tcW w:w="14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val="000000"/>
                <w:sz w:val="18"/>
                <w:szCs w:val="18"/>
              </w:rPr>
              <w:t>EQUIPE DE PLANEJAMENTO</w:t>
            </w:r>
          </w:p>
        </w:tc>
        <w:tc>
          <w:tcPr>
            <w:tcW w:w="2243"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Corrigir tempestivamente as deficiências detectadas nos estudos preliminares; Secretaria de Meio Ambiente estimular a reflexão para o consumo consciente e fomentar a adoção de critérios de sustentabilidade nas compras e contratações</w:t>
            </w:r>
          </w:p>
        </w:tc>
        <w:tc>
          <w:tcPr>
            <w:tcW w:w="1800"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val="000000"/>
                <w:sz w:val="18"/>
                <w:szCs w:val="18"/>
              </w:rPr>
              <w:t>EQUIPE DE PLANEJAMENTO; REQUISITANTE DA DEMANDA; AUTORIDADE COMPETENTE</w:t>
            </w:r>
          </w:p>
        </w:tc>
      </w:tr>
      <w:tr>
        <w:trPr>
          <w:trHeight w:val="720" w:hRule="atLeast"/>
        </w:trPr>
        <w:tc>
          <w:tcPr>
            <w:tcW w:w="522"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right"/>
              <w:textAlignment w:val="auto"/>
              <w:outlineLvl w:val="9"/>
              <w:rPr/>
            </w:pPr>
            <w:r>
              <w:rPr>
                <w:rFonts w:ascii="Calibri" w:hAnsi="Calibri"/>
                <w:color w:themeColor="dark1" w:val="000000"/>
                <w:sz w:val="18"/>
                <w:szCs w:val="18"/>
              </w:rPr>
              <w:t>14</w:t>
            </w:r>
          </w:p>
        </w:tc>
        <w:tc>
          <w:tcPr>
            <w:tcW w:w="135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themeColor="dark1" w:val="000000"/>
                <w:sz w:val="18"/>
                <w:szCs w:val="18"/>
              </w:rPr>
              <w:t>PLANEJAMENTO DA CONTRATAÇÃO</w:t>
            </w:r>
          </w:p>
        </w:tc>
        <w:tc>
          <w:tcPr>
            <w:tcW w:w="19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themeColor="dark1" w:val="000000"/>
                <w:sz w:val="18"/>
                <w:szCs w:val="18"/>
              </w:rPr>
              <w:t>Falha na elaboração do termo de referência</w:t>
            </w:r>
          </w:p>
        </w:tc>
        <w:tc>
          <w:tcPr>
            <w:tcW w:w="1222" w:type="dxa"/>
            <w:tcBorders>
              <w:bottom w:val="single" w:sz="4" w:space="0" w:color="000000"/>
              <w:right w:val="single" w:sz="4" w:space="0" w:color="000000"/>
            </w:tcBorders>
            <w:shd w:color="000000" w:fill="FCE4D6" w:val="clear"/>
            <w:vAlign w:val="center"/>
          </w:tcPr>
          <w:p>
            <w:pPr>
              <w:pStyle w:val="Normal"/>
              <w:suppressAutoHyphens w:val="false"/>
              <w:spacing w:lineRule="auto" w:line="240"/>
              <w:ind w:hanging="0" w:left="0"/>
              <w:jc w:val="center"/>
              <w:textAlignment w:val="auto"/>
              <w:outlineLvl w:val="9"/>
              <w:rPr/>
            </w:pPr>
            <w:r>
              <w:rPr>
                <w:rFonts w:ascii="Calibri" w:hAnsi="Calibri"/>
                <w:b/>
                <w:bCs/>
                <w:color w:themeColor="dark1" w:val="000000"/>
                <w:sz w:val="18"/>
                <w:szCs w:val="18"/>
              </w:rPr>
              <w:t>PROVAVEL</w:t>
            </w:r>
          </w:p>
        </w:tc>
        <w:tc>
          <w:tcPr>
            <w:tcW w:w="1655"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themeColor="dark1" w:val="000000"/>
                <w:sz w:val="18"/>
                <w:szCs w:val="18"/>
              </w:rPr>
              <w:t>Licitação fracassada, deserta ou contratação deficiente, gastos com processo licitatório ineficiente</w:t>
            </w:r>
          </w:p>
        </w:tc>
        <w:tc>
          <w:tcPr>
            <w:tcW w:w="860" w:type="dxa"/>
            <w:tcBorders>
              <w:bottom w:val="single" w:sz="4" w:space="0" w:color="000000"/>
              <w:right w:val="single" w:sz="4" w:space="0" w:color="000000"/>
            </w:tcBorders>
            <w:shd w:color="000000" w:fill="B4C6E7" w:val="clear"/>
            <w:vAlign w:val="center"/>
          </w:tcPr>
          <w:p>
            <w:pPr>
              <w:pStyle w:val="Normal"/>
              <w:suppressAutoHyphens w:val="false"/>
              <w:spacing w:lineRule="auto" w:line="240"/>
              <w:ind w:hanging="0" w:left="0"/>
              <w:jc w:val="center"/>
              <w:textAlignment w:val="auto"/>
              <w:outlineLvl w:val="9"/>
              <w:rPr/>
            </w:pPr>
            <w:r>
              <w:rPr>
                <w:rFonts w:ascii="Calibri" w:hAnsi="Calibri"/>
                <w:b/>
                <w:bCs/>
                <w:color w:themeColor="dark1" w:val="000000"/>
                <w:sz w:val="18"/>
                <w:szCs w:val="18"/>
              </w:rPr>
              <w:t>ALTO</w:t>
            </w:r>
          </w:p>
        </w:tc>
        <w:tc>
          <w:tcPr>
            <w:tcW w:w="263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themeColor="dark1" w:val="000000"/>
                <w:sz w:val="18"/>
                <w:szCs w:val="18"/>
              </w:rPr>
              <w:t>Elaborar checklist que contemple, no que couber, os requisitos do Decreto 3.537/2023</w:t>
            </w:r>
          </w:p>
        </w:tc>
        <w:tc>
          <w:tcPr>
            <w:tcW w:w="14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themeColor="dark1" w:val="000000"/>
                <w:sz w:val="18"/>
                <w:szCs w:val="18"/>
              </w:rPr>
              <w:t>EQUIPE DE PLANEJAMENTO</w:t>
            </w:r>
          </w:p>
        </w:tc>
        <w:tc>
          <w:tcPr>
            <w:tcW w:w="2243"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themeColor="dark1" w:val="000000"/>
                <w:sz w:val="18"/>
                <w:szCs w:val="18"/>
              </w:rPr>
              <w:t>Revisão do termo de referência com inclusão das instruções ausentes</w:t>
            </w:r>
          </w:p>
        </w:tc>
        <w:tc>
          <w:tcPr>
            <w:tcW w:w="1800"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themeColor="dark1" w:val="000000"/>
                <w:sz w:val="18"/>
                <w:szCs w:val="18"/>
              </w:rPr>
              <w:t>EQUIPE DE PLANEJAMENTO</w:t>
            </w:r>
          </w:p>
        </w:tc>
      </w:tr>
      <w:tr>
        <w:trPr>
          <w:trHeight w:val="720" w:hRule="atLeast"/>
        </w:trPr>
        <w:tc>
          <w:tcPr>
            <w:tcW w:w="522"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right"/>
              <w:textAlignment w:val="auto"/>
              <w:outlineLvl w:val="9"/>
              <w:rPr/>
            </w:pPr>
            <w:r>
              <w:rPr>
                <w:rFonts w:ascii="Calibri" w:hAnsi="Calibri"/>
                <w:color w:val="000000"/>
                <w:sz w:val="18"/>
                <w:szCs w:val="18"/>
              </w:rPr>
              <w:t>15</w:t>
            </w:r>
          </w:p>
        </w:tc>
        <w:tc>
          <w:tcPr>
            <w:tcW w:w="135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val="000000"/>
                <w:sz w:val="18"/>
                <w:szCs w:val="18"/>
              </w:rPr>
              <w:t>PLANEJAMENTO DA CONTRATAÇÃO</w:t>
            </w:r>
          </w:p>
        </w:tc>
        <w:tc>
          <w:tcPr>
            <w:tcW w:w="19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Ausência de aprovação do termo de referência</w:t>
            </w:r>
          </w:p>
        </w:tc>
        <w:tc>
          <w:tcPr>
            <w:tcW w:w="1222" w:type="dxa"/>
            <w:tcBorders>
              <w:bottom w:val="single" w:sz="4" w:space="0" w:color="000000"/>
              <w:right w:val="single" w:sz="4" w:space="0" w:color="000000"/>
            </w:tcBorders>
            <w:shd w:color="000000" w:fill="FCE4D6" w:val="clear"/>
            <w:vAlign w:val="center"/>
          </w:tcPr>
          <w:p>
            <w:pPr>
              <w:pStyle w:val="Normal"/>
              <w:suppressAutoHyphens w:val="false"/>
              <w:spacing w:lineRule="auto" w:line="240"/>
              <w:ind w:hanging="0" w:left="0"/>
              <w:jc w:val="center"/>
              <w:textAlignment w:val="auto"/>
              <w:outlineLvl w:val="9"/>
              <w:rPr/>
            </w:pPr>
            <w:r>
              <w:rPr>
                <w:rFonts w:ascii="Calibri" w:hAnsi="Calibri"/>
                <w:b/>
                <w:bCs/>
                <w:color w:val="000000"/>
                <w:sz w:val="18"/>
                <w:szCs w:val="18"/>
              </w:rPr>
              <w:t>POUCO PROVAVEL</w:t>
            </w:r>
          </w:p>
        </w:tc>
        <w:tc>
          <w:tcPr>
            <w:tcW w:w="1655"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Atraso na contratação do objeto</w:t>
            </w:r>
          </w:p>
        </w:tc>
        <w:tc>
          <w:tcPr>
            <w:tcW w:w="860" w:type="dxa"/>
            <w:tcBorders>
              <w:bottom w:val="single" w:sz="4" w:space="0" w:color="000000"/>
              <w:right w:val="single" w:sz="4" w:space="0" w:color="000000"/>
            </w:tcBorders>
            <w:shd w:color="000000" w:fill="B4C6E7" w:val="clear"/>
            <w:vAlign w:val="center"/>
          </w:tcPr>
          <w:p>
            <w:pPr>
              <w:pStyle w:val="Normal"/>
              <w:suppressAutoHyphens w:val="false"/>
              <w:spacing w:lineRule="auto" w:line="240"/>
              <w:ind w:hanging="0" w:left="0"/>
              <w:jc w:val="center"/>
              <w:textAlignment w:val="auto"/>
              <w:outlineLvl w:val="9"/>
              <w:rPr/>
            </w:pPr>
            <w:r>
              <w:rPr>
                <w:rFonts w:ascii="Calibri" w:hAnsi="Calibri"/>
                <w:b/>
                <w:bCs/>
                <w:color w:val="000000"/>
                <w:sz w:val="18"/>
                <w:szCs w:val="18"/>
              </w:rPr>
              <w:t>MEDIO</w:t>
            </w:r>
          </w:p>
        </w:tc>
        <w:tc>
          <w:tcPr>
            <w:tcW w:w="263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Adoção de checklist com item de aprovação do TR pela autoridade competente.</w:t>
            </w:r>
          </w:p>
        </w:tc>
        <w:tc>
          <w:tcPr>
            <w:tcW w:w="14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val="000000"/>
                <w:sz w:val="18"/>
                <w:szCs w:val="18"/>
              </w:rPr>
              <w:t>EQUIPE DE PLANEJAMENTO</w:t>
            </w:r>
          </w:p>
        </w:tc>
        <w:tc>
          <w:tcPr>
            <w:tcW w:w="2243"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Encaminhar à autoridade competente o processo para aprovação do Termo de Referência</w:t>
            </w:r>
          </w:p>
        </w:tc>
        <w:tc>
          <w:tcPr>
            <w:tcW w:w="1800"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val="000000"/>
                <w:sz w:val="18"/>
                <w:szCs w:val="18"/>
              </w:rPr>
              <w:t>EQUIPE DE PLANEJAMENTO; REQUISITANTE DA DEMANDA; AUTORIDADE COMPETENTE</w:t>
            </w:r>
          </w:p>
        </w:tc>
      </w:tr>
      <w:tr>
        <w:trPr>
          <w:trHeight w:val="3120" w:hRule="atLeast"/>
        </w:trPr>
        <w:tc>
          <w:tcPr>
            <w:tcW w:w="522"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right"/>
              <w:textAlignment w:val="auto"/>
              <w:outlineLvl w:val="9"/>
              <w:rPr/>
            </w:pPr>
            <w:r>
              <w:rPr>
                <w:rFonts w:ascii="Calibri" w:hAnsi="Calibri"/>
                <w:color w:val="000000"/>
                <w:sz w:val="18"/>
                <w:szCs w:val="18"/>
              </w:rPr>
              <w:t>16</w:t>
            </w:r>
          </w:p>
        </w:tc>
        <w:tc>
          <w:tcPr>
            <w:tcW w:w="135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sz w:val="18"/>
                <w:szCs w:val="18"/>
              </w:rPr>
              <w:t>PLANEJAMENTO DA CONTRATAÇÃO</w:t>
            </w:r>
          </w:p>
        </w:tc>
        <w:tc>
          <w:tcPr>
            <w:tcW w:w="19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sz w:val="18"/>
                <w:szCs w:val="18"/>
              </w:rPr>
              <w:t>Precificação:  - Dificuldade de estimar os custos devido ao ineditismo do objeto. - Estimativa insuficiente ou excessiva do custo do projeto.</w:t>
            </w:r>
          </w:p>
        </w:tc>
        <w:tc>
          <w:tcPr>
            <w:tcW w:w="1222" w:type="dxa"/>
            <w:tcBorders>
              <w:bottom w:val="single" w:sz="4" w:space="0" w:color="000000"/>
              <w:right w:val="single" w:sz="4" w:space="0" w:color="000000"/>
            </w:tcBorders>
            <w:shd w:color="000000" w:fill="FCE4D6" w:val="clear"/>
            <w:vAlign w:val="center"/>
          </w:tcPr>
          <w:p>
            <w:pPr>
              <w:pStyle w:val="Normal"/>
              <w:suppressAutoHyphens w:val="false"/>
              <w:spacing w:lineRule="auto" w:line="240"/>
              <w:ind w:hanging="0" w:left="0"/>
              <w:jc w:val="center"/>
              <w:textAlignment w:val="auto"/>
              <w:outlineLvl w:val="9"/>
              <w:rPr/>
            </w:pPr>
            <w:r>
              <w:rPr>
                <w:rFonts w:ascii="Calibri" w:hAnsi="Calibri"/>
                <w:sz w:val="18"/>
                <w:szCs w:val="18"/>
              </w:rPr>
              <w:t>PROVAVEL</w:t>
            </w:r>
          </w:p>
        </w:tc>
        <w:tc>
          <w:tcPr>
            <w:tcW w:w="1655"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sz w:val="18"/>
                <w:szCs w:val="18"/>
              </w:rPr>
              <w:t>Não atrair os potenciais fornecedores com maiores chances de sucesso.  - Não escolher os fornecedores com maior potencial de sucesso, por não serem os de menor custo.</w:t>
            </w:r>
          </w:p>
        </w:tc>
        <w:tc>
          <w:tcPr>
            <w:tcW w:w="860" w:type="dxa"/>
            <w:tcBorders>
              <w:bottom w:val="single" w:sz="4" w:space="0" w:color="000000"/>
              <w:right w:val="single" w:sz="4" w:space="0" w:color="000000"/>
            </w:tcBorders>
            <w:shd w:color="000000" w:fill="B4C6E7" w:val="clear"/>
            <w:vAlign w:val="center"/>
          </w:tcPr>
          <w:p>
            <w:pPr>
              <w:pStyle w:val="Normal"/>
              <w:suppressAutoHyphens w:val="false"/>
              <w:spacing w:lineRule="auto" w:line="240"/>
              <w:ind w:hanging="0" w:left="0"/>
              <w:jc w:val="center"/>
              <w:textAlignment w:val="auto"/>
              <w:outlineLvl w:val="9"/>
              <w:rPr/>
            </w:pPr>
            <w:r>
              <w:rPr/>
            </w:r>
          </w:p>
        </w:tc>
        <w:tc>
          <w:tcPr>
            <w:tcW w:w="263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sz w:val="18"/>
                <w:szCs w:val="18"/>
              </w:rPr>
              <w:t>Comparar com contratações de objetos que demandaram tipos de serviços de inovação assemelhados.  Aproveitar os eventos de manifestação de interesse para coletar manifestações de interesse contendo proposta de preço.   Não levar em consideração o menor preço como critério principal de seleção de fornecedores. Utilizar, ao invés, múltiplos critérios que estimem a chance de sucesso dos potenciais fornecedores.</w:t>
            </w:r>
          </w:p>
        </w:tc>
        <w:tc>
          <w:tcPr>
            <w:tcW w:w="14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sz w:val="18"/>
                <w:szCs w:val="18"/>
              </w:rPr>
              <w:t>EQUIPE DE PLANEJAMENTO</w:t>
            </w:r>
          </w:p>
        </w:tc>
        <w:tc>
          <w:tcPr>
            <w:tcW w:w="2243"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sz w:val="18"/>
                <w:szCs w:val="18"/>
              </w:rPr>
              <w:t>Corrigir as deficiências detectadas nos estudos preliminares</w:t>
            </w:r>
          </w:p>
        </w:tc>
        <w:tc>
          <w:tcPr>
            <w:tcW w:w="1800"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sz w:val="18"/>
                <w:szCs w:val="18"/>
              </w:rPr>
              <w:t>EQUIPE DE PLANEJAMENTO; REQUISITANTE DA DEMANDA; AUTORIDADE COMPETENTE</w:t>
            </w:r>
          </w:p>
        </w:tc>
      </w:tr>
      <w:tr>
        <w:trPr>
          <w:trHeight w:val="960" w:hRule="atLeast"/>
        </w:trPr>
        <w:tc>
          <w:tcPr>
            <w:tcW w:w="522"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right"/>
              <w:textAlignment w:val="auto"/>
              <w:outlineLvl w:val="9"/>
              <w:rPr/>
            </w:pPr>
            <w:r>
              <w:rPr>
                <w:rFonts w:ascii="Calibri" w:hAnsi="Calibri"/>
                <w:color w:val="000000"/>
                <w:sz w:val="18"/>
                <w:szCs w:val="18"/>
              </w:rPr>
              <w:t>17</w:t>
            </w:r>
          </w:p>
        </w:tc>
        <w:tc>
          <w:tcPr>
            <w:tcW w:w="135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val="000000"/>
                <w:sz w:val="18"/>
                <w:szCs w:val="18"/>
              </w:rPr>
              <w:t>PLANEJAMENTO DA CONTRATAÇÃO</w:t>
            </w:r>
          </w:p>
        </w:tc>
        <w:tc>
          <w:tcPr>
            <w:tcW w:w="19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Restrição da competitividade, impugnação do edital</w:t>
            </w:r>
          </w:p>
        </w:tc>
        <w:tc>
          <w:tcPr>
            <w:tcW w:w="1222" w:type="dxa"/>
            <w:tcBorders>
              <w:bottom w:val="single" w:sz="4" w:space="0" w:color="000000"/>
              <w:right w:val="single" w:sz="4" w:space="0" w:color="000000"/>
            </w:tcBorders>
            <w:shd w:color="000000" w:fill="FCE4D6" w:val="clear"/>
            <w:vAlign w:val="center"/>
          </w:tcPr>
          <w:p>
            <w:pPr>
              <w:pStyle w:val="Normal"/>
              <w:suppressAutoHyphens w:val="false"/>
              <w:spacing w:lineRule="auto" w:line="240"/>
              <w:ind w:hanging="0" w:left="0"/>
              <w:jc w:val="center"/>
              <w:textAlignment w:val="auto"/>
              <w:outlineLvl w:val="9"/>
              <w:rPr/>
            </w:pPr>
            <w:r>
              <w:rPr>
                <w:rFonts w:ascii="Calibri" w:hAnsi="Calibri"/>
                <w:b/>
                <w:bCs/>
                <w:color w:val="000000"/>
                <w:sz w:val="18"/>
                <w:szCs w:val="18"/>
              </w:rPr>
              <w:t>PROVAVEL</w:t>
            </w:r>
          </w:p>
        </w:tc>
        <w:tc>
          <w:tcPr>
            <w:tcW w:w="1655"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Atraso ou anulação da licitação. Custos para a Administração</w:t>
            </w:r>
          </w:p>
        </w:tc>
        <w:tc>
          <w:tcPr>
            <w:tcW w:w="860" w:type="dxa"/>
            <w:tcBorders>
              <w:bottom w:val="single" w:sz="4" w:space="0" w:color="000000"/>
              <w:right w:val="single" w:sz="4" w:space="0" w:color="000000"/>
            </w:tcBorders>
            <w:shd w:color="000000" w:fill="B4C6E7" w:val="clear"/>
            <w:vAlign w:val="center"/>
          </w:tcPr>
          <w:p>
            <w:pPr>
              <w:pStyle w:val="Normal"/>
              <w:suppressAutoHyphens w:val="false"/>
              <w:spacing w:lineRule="auto" w:line="240"/>
              <w:ind w:hanging="0" w:left="0"/>
              <w:jc w:val="center"/>
              <w:textAlignment w:val="auto"/>
              <w:outlineLvl w:val="9"/>
              <w:rPr/>
            </w:pPr>
            <w:r>
              <w:rPr>
                <w:rFonts w:ascii="Calibri" w:hAnsi="Calibri"/>
                <w:b/>
                <w:bCs/>
                <w:color w:val="000000"/>
                <w:sz w:val="18"/>
                <w:szCs w:val="18"/>
              </w:rPr>
              <w:t>ALTO</w:t>
            </w:r>
          </w:p>
        </w:tc>
        <w:tc>
          <w:tcPr>
            <w:tcW w:w="263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Submissão do processo a análise da Procuradoria Jurídica. Verificar a existência de cláusulas nulas e ou restritivas</w:t>
            </w:r>
          </w:p>
        </w:tc>
        <w:tc>
          <w:tcPr>
            <w:tcW w:w="14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val="000000"/>
                <w:sz w:val="18"/>
                <w:szCs w:val="18"/>
              </w:rPr>
              <w:t>COMISSÃO DE LICITAÇÃO/ PREGOEIRO</w:t>
            </w:r>
          </w:p>
        </w:tc>
        <w:tc>
          <w:tcPr>
            <w:tcW w:w="2243"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Readequação do edital com retirada de cláusulas nulas e ou restritivas</w:t>
            </w:r>
          </w:p>
        </w:tc>
        <w:tc>
          <w:tcPr>
            <w:tcW w:w="1800"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val="000000"/>
                <w:sz w:val="18"/>
                <w:szCs w:val="18"/>
              </w:rPr>
              <w:t>COMISSÃO DE LICITAÇÃO/PREGOEIRO</w:t>
            </w:r>
          </w:p>
        </w:tc>
      </w:tr>
      <w:tr>
        <w:trPr>
          <w:trHeight w:val="720" w:hRule="atLeast"/>
        </w:trPr>
        <w:tc>
          <w:tcPr>
            <w:tcW w:w="522"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right"/>
              <w:textAlignment w:val="auto"/>
              <w:outlineLvl w:val="9"/>
              <w:rPr/>
            </w:pPr>
            <w:r>
              <w:rPr>
                <w:rFonts w:ascii="Calibri" w:hAnsi="Calibri"/>
                <w:color w:val="000000"/>
                <w:sz w:val="18"/>
                <w:szCs w:val="18"/>
              </w:rPr>
              <w:t>18</w:t>
            </w:r>
          </w:p>
        </w:tc>
        <w:tc>
          <w:tcPr>
            <w:tcW w:w="135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val="000000"/>
                <w:sz w:val="18"/>
                <w:szCs w:val="18"/>
              </w:rPr>
              <w:t>PLANEJAMENTO DA CONTRATAÇÃO</w:t>
            </w:r>
          </w:p>
        </w:tc>
        <w:tc>
          <w:tcPr>
            <w:tcW w:w="19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Ausência de publicação do edital</w:t>
            </w:r>
          </w:p>
        </w:tc>
        <w:tc>
          <w:tcPr>
            <w:tcW w:w="1222" w:type="dxa"/>
            <w:tcBorders>
              <w:bottom w:val="single" w:sz="4" w:space="0" w:color="000000"/>
              <w:right w:val="single" w:sz="4" w:space="0" w:color="000000"/>
            </w:tcBorders>
            <w:shd w:color="000000" w:fill="FCE4D6" w:val="clear"/>
            <w:vAlign w:val="center"/>
          </w:tcPr>
          <w:p>
            <w:pPr>
              <w:pStyle w:val="Normal"/>
              <w:suppressAutoHyphens w:val="false"/>
              <w:spacing w:lineRule="auto" w:line="240"/>
              <w:ind w:hanging="0" w:left="0"/>
              <w:jc w:val="center"/>
              <w:textAlignment w:val="auto"/>
              <w:outlineLvl w:val="9"/>
              <w:rPr/>
            </w:pPr>
            <w:r>
              <w:rPr>
                <w:rFonts w:ascii="Calibri" w:hAnsi="Calibri"/>
                <w:b/>
                <w:bCs/>
                <w:color w:val="000000"/>
                <w:sz w:val="18"/>
                <w:szCs w:val="18"/>
              </w:rPr>
              <w:t>POUCO PROVAVEL</w:t>
            </w:r>
          </w:p>
        </w:tc>
        <w:tc>
          <w:tcPr>
            <w:tcW w:w="1655"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Anulação dos atos praticados</w:t>
            </w:r>
          </w:p>
        </w:tc>
        <w:tc>
          <w:tcPr>
            <w:tcW w:w="860" w:type="dxa"/>
            <w:tcBorders>
              <w:bottom w:val="single" w:sz="4" w:space="0" w:color="000000"/>
              <w:right w:val="single" w:sz="4" w:space="0" w:color="000000"/>
            </w:tcBorders>
            <w:shd w:color="000000" w:fill="B4C6E7" w:val="clear"/>
            <w:vAlign w:val="center"/>
          </w:tcPr>
          <w:p>
            <w:pPr>
              <w:pStyle w:val="Normal"/>
              <w:suppressAutoHyphens w:val="false"/>
              <w:spacing w:lineRule="auto" w:line="240"/>
              <w:ind w:hanging="0" w:left="0"/>
              <w:jc w:val="center"/>
              <w:textAlignment w:val="auto"/>
              <w:outlineLvl w:val="9"/>
              <w:rPr/>
            </w:pPr>
            <w:r>
              <w:rPr>
                <w:rFonts w:ascii="Calibri" w:hAnsi="Calibri"/>
                <w:b/>
                <w:bCs/>
                <w:color w:val="000000"/>
                <w:sz w:val="18"/>
                <w:szCs w:val="18"/>
              </w:rPr>
              <w:t>MEDIO</w:t>
            </w:r>
          </w:p>
        </w:tc>
        <w:tc>
          <w:tcPr>
            <w:tcW w:w="263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Adoção de checklist contemplando o item "publicação/divulgação do edital".</w:t>
            </w:r>
          </w:p>
        </w:tc>
        <w:tc>
          <w:tcPr>
            <w:tcW w:w="14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val="000000"/>
                <w:sz w:val="18"/>
                <w:szCs w:val="18"/>
              </w:rPr>
              <w:t>COMISSÃO DE LICITAÇÃO/ PREGOEIRO</w:t>
            </w:r>
          </w:p>
        </w:tc>
        <w:tc>
          <w:tcPr>
            <w:tcW w:w="2243"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Providenciar a publicação e reiniciar a contagem do prazo de apresentação da proposta.</w:t>
            </w:r>
          </w:p>
        </w:tc>
        <w:tc>
          <w:tcPr>
            <w:tcW w:w="1800"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val="000000"/>
                <w:sz w:val="18"/>
                <w:szCs w:val="18"/>
              </w:rPr>
              <w:t>COMISSÃO DE LICITAÇÃO/PREGOEIRO</w:t>
            </w:r>
          </w:p>
        </w:tc>
      </w:tr>
      <w:tr>
        <w:trPr>
          <w:trHeight w:val="720" w:hRule="atLeast"/>
        </w:trPr>
        <w:tc>
          <w:tcPr>
            <w:tcW w:w="522"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right"/>
              <w:textAlignment w:val="auto"/>
              <w:outlineLvl w:val="9"/>
              <w:rPr/>
            </w:pPr>
            <w:r>
              <w:rPr>
                <w:rFonts w:ascii="Calibri" w:hAnsi="Calibri"/>
                <w:color w:val="000000"/>
                <w:sz w:val="18"/>
                <w:szCs w:val="18"/>
              </w:rPr>
              <w:t>19</w:t>
            </w:r>
          </w:p>
        </w:tc>
        <w:tc>
          <w:tcPr>
            <w:tcW w:w="135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val="000000"/>
                <w:sz w:val="18"/>
                <w:szCs w:val="18"/>
              </w:rPr>
              <w:t>PLANEJAMENTO DA CONTRATAÇÃO</w:t>
            </w:r>
          </w:p>
        </w:tc>
        <w:tc>
          <w:tcPr>
            <w:tcW w:w="19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Paralisação da licitação por medida judicial ou intervenção de órgão de controle</w:t>
            </w:r>
          </w:p>
        </w:tc>
        <w:tc>
          <w:tcPr>
            <w:tcW w:w="1222" w:type="dxa"/>
            <w:tcBorders>
              <w:bottom w:val="single" w:sz="4" w:space="0" w:color="000000"/>
              <w:right w:val="single" w:sz="4" w:space="0" w:color="000000"/>
            </w:tcBorders>
            <w:shd w:color="000000" w:fill="FCE4D6" w:val="clear"/>
            <w:vAlign w:val="center"/>
          </w:tcPr>
          <w:p>
            <w:pPr>
              <w:pStyle w:val="Normal"/>
              <w:suppressAutoHyphens w:val="false"/>
              <w:spacing w:lineRule="auto" w:line="240"/>
              <w:ind w:hanging="0" w:left="0"/>
              <w:jc w:val="center"/>
              <w:textAlignment w:val="auto"/>
              <w:outlineLvl w:val="9"/>
              <w:rPr/>
            </w:pPr>
            <w:r>
              <w:rPr>
                <w:rFonts w:ascii="Calibri" w:hAnsi="Calibri"/>
                <w:b/>
                <w:bCs/>
                <w:color w:val="000000"/>
                <w:sz w:val="18"/>
                <w:szCs w:val="18"/>
              </w:rPr>
              <w:t>PROVAVEL</w:t>
            </w:r>
          </w:p>
        </w:tc>
        <w:tc>
          <w:tcPr>
            <w:tcW w:w="1655"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sz w:val="18"/>
                <w:szCs w:val="18"/>
              </w:rPr>
              <w:t>Atraso na contratação da obra e ou execução de serviço</w:t>
            </w:r>
          </w:p>
        </w:tc>
        <w:tc>
          <w:tcPr>
            <w:tcW w:w="860" w:type="dxa"/>
            <w:tcBorders>
              <w:bottom w:val="single" w:sz="4" w:space="0" w:color="000000"/>
              <w:right w:val="single" w:sz="4" w:space="0" w:color="000000"/>
            </w:tcBorders>
            <w:shd w:color="000000" w:fill="B4C6E7" w:val="clear"/>
            <w:vAlign w:val="center"/>
          </w:tcPr>
          <w:p>
            <w:pPr>
              <w:pStyle w:val="Normal"/>
              <w:suppressAutoHyphens w:val="false"/>
              <w:spacing w:lineRule="auto" w:line="240"/>
              <w:ind w:hanging="0" w:left="0"/>
              <w:jc w:val="center"/>
              <w:textAlignment w:val="auto"/>
              <w:outlineLvl w:val="9"/>
              <w:rPr/>
            </w:pPr>
            <w:r>
              <w:rPr>
                <w:rFonts w:ascii="Calibri" w:hAnsi="Calibri"/>
                <w:b/>
                <w:bCs/>
                <w:color w:val="000000"/>
                <w:sz w:val="18"/>
                <w:szCs w:val="18"/>
              </w:rPr>
              <w:t>MEDIO</w:t>
            </w:r>
          </w:p>
        </w:tc>
        <w:tc>
          <w:tcPr>
            <w:tcW w:w="263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Adotar procedimentos de controle</w:t>
            </w:r>
          </w:p>
        </w:tc>
        <w:tc>
          <w:tcPr>
            <w:tcW w:w="14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val="000000"/>
                <w:sz w:val="18"/>
                <w:szCs w:val="18"/>
              </w:rPr>
              <w:t>DEPARTAMENTO DE LICITAÇÃO</w:t>
            </w:r>
          </w:p>
        </w:tc>
        <w:tc>
          <w:tcPr>
            <w:tcW w:w="2243"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Atuar com celeridade nas respostas aos questionamentos efetuados; Acatar as solicitações dos órgãos de controle</w:t>
            </w:r>
          </w:p>
        </w:tc>
        <w:tc>
          <w:tcPr>
            <w:tcW w:w="1800"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val="000000"/>
                <w:sz w:val="18"/>
                <w:szCs w:val="18"/>
              </w:rPr>
              <w:t>DEPARTAMENTO DE LICITAÇÃO</w:t>
            </w:r>
          </w:p>
        </w:tc>
      </w:tr>
      <w:tr>
        <w:trPr>
          <w:trHeight w:val="960" w:hRule="atLeast"/>
        </w:trPr>
        <w:tc>
          <w:tcPr>
            <w:tcW w:w="522"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right"/>
              <w:textAlignment w:val="auto"/>
              <w:outlineLvl w:val="9"/>
              <w:rPr/>
            </w:pPr>
            <w:r>
              <w:rPr>
                <w:rFonts w:ascii="Calibri" w:hAnsi="Calibri"/>
                <w:color w:val="000000"/>
                <w:sz w:val="18"/>
                <w:szCs w:val="18"/>
              </w:rPr>
              <w:t>20</w:t>
            </w:r>
          </w:p>
        </w:tc>
        <w:tc>
          <w:tcPr>
            <w:tcW w:w="135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val="000000"/>
                <w:sz w:val="18"/>
                <w:szCs w:val="18"/>
              </w:rPr>
              <w:t>GESTÃO DE CONTRATO</w:t>
            </w:r>
          </w:p>
        </w:tc>
        <w:tc>
          <w:tcPr>
            <w:tcW w:w="19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Não assinatura do contrato</w:t>
            </w:r>
          </w:p>
        </w:tc>
        <w:tc>
          <w:tcPr>
            <w:tcW w:w="1222" w:type="dxa"/>
            <w:tcBorders>
              <w:bottom w:val="single" w:sz="4" w:space="0" w:color="000000"/>
              <w:right w:val="single" w:sz="4" w:space="0" w:color="000000"/>
            </w:tcBorders>
            <w:shd w:color="000000" w:fill="FCE4D6" w:val="clear"/>
            <w:vAlign w:val="center"/>
          </w:tcPr>
          <w:p>
            <w:pPr>
              <w:pStyle w:val="Normal"/>
              <w:suppressAutoHyphens w:val="false"/>
              <w:spacing w:lineRule="auto" w:line="240"/>
              <w:ind w:hanging="0" w:left="0"/>
              <w:jc w:val="center"/>
              <w:textAlignment w:val="auto"/>
              <w:outlineLvl w:val="9"/>
              <w:rPr/>
            </w:pPr>
            <w:r>
              <w:rPr>
                <w:rFonts w:ascii="Calibri" w:hAnsi="Calibri"/>
                <w:b/>
                <w:bCs/>
                <w:color w:val="000000"/>
                <w:sz w:val="18"/>
                <w:szCs w:val="18"/>
              </w:rPr>
              <w:t>POUCO PROVAVEL</w:t>
            </w:r>
          </w:p>
        </w:tc>
        <w:tc>
          <w:tcPr>
            <w:tcW w:w="1655"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Atraso na contratação dos serviços. Custos para a Administração</w:t>
            </w:r>
          </w:p>
        </w:tc>
        <w:tc>
          <w:tcPr>
            <w:tcW w:w="860" w:type="dxa"/>
            <w:tcBorders>
              <w:bottom w:val="single" w:sz="4" w:space="0" w:color="000000"/>
              <w:right w:val="single" w:sz="4" w:space="0" w:color="000000"/>
            </w:tcBorders>
            <w:shd w:color="000000" w:fill="B4C6E7" w:val="clear"/>
            <w:vAlign w:val="center"/>
          </w:tcPr>
          <w:p>
            <w:pPr>
              <w:pStyle w:val="Normal"/>
              <w:suppressAutoHyphens w:val="false"/>
              <w:spacing w:lineRule="auto" w:line="240"/>
              <w:ind w:hanging="0" w:left="0"/>
              <w:jc w:val="center"/>
              <w:textAlignment w:val="auto"/>
              <w:outlineLvl w:val="9"/>
              <w:rPr/>
            </w:pPr>
            <w:r>
              <w:rPr>
                <w:rFonts w:ascii="Calibri" w:hAnsi="Calibri"/>
                <w:b/>
                <w:bCs/>
                <w:color w:val="000000"/>
                <w:sz w:val="18"/>
                <w:szCs w:val="18"/>
              </w:rPr>
              <w:t>ALTO</w:t>
            </w:r>
          </w:p>
        </w:tc>
        <w:tc>
          <w:tcPr>
            <w:tcW w:w="263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Verificação na fase de habilitação certame que o fornecedor reúne todos os requisitos de habilitação exigidos em edital</w:t>
            </w:r>
          </w:p>
        </w:tc>
        <w:tc>
          <w:tcPr>
            <w:tcW w:w="14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val="000000"/>
                <w:sz w:val="18"/>
                <w:szCs w:val="18"/>
              </w:rPr>
              <w:t>COMISSÃO DE LICITAÇÃO/PREGOEIRO</w:t>
            </w:r>
          </w:p>
        </w:tc>
        <w:tc>
          <w:tcPr>
            <w:tcW w:w="2243"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Reabertura do certame e volta de fases na licitação para convocação do fornecedor mais bem classificado.</w:t>
            </w:r>
          </w:p>
        </w:tc>
        <w:tc>
          <w:tcPr>
            <w:tcW w:w="1800"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val="000000"/>
                <w:sz w:val="18"/>
                <w:szCs w:val="18"/>
              </w:rPr>
              <w:t>COMISSÃO DE LICITAÇÃO/PREGOEIRO</w:t>
            </w:r>
          </w:p>
        </w:tc>
      </w:tr>
      <w:tr>
        <w:trPr>
          <w:trHeight w:val="480" w:hRule="atLeast"/>
        </w:trPr>
        <w:tc>
          <w:tcPr>
            <w:tcW w:w="522"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right"/>
              <w:textAlignment w:val="auto"/>
              <w:outlineLvl w:val="9"/>
              <w:rPr/>
            </w:pPr>
            <w:r>
              <w:rPr>
                <w:rFonts w:ascii="Calibri" w:hAnsi="Calibri"/>
                <w:color w:val="000000"/>
                <w:sz w:val="18"/>
                <w:szCs w:val="18"/>
              </w:rPr>
              <w:t>21</w:t>
            </w:r>
          </w:p>
        </w:tc>
        <w:tc>
          <w:tcPr>
            <w:tcW w:w="135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val="000000"/>
                <w:sz w:val="18"/>
                <w:szCs w:val="18"/>
              </w:rPr>
              <w:t>GESTÃO DE CONTRATO</w:t>
            </w:r>
          </w:p>
        </w:tc>
        <w:tc>
          <w:tcPr>
            <w:tcW w:w="19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Falta de publicidade do ato administrativo</w:t>
            </w:r>
          </w:p>
        </w:tc>
        <w:tc>
          <w:tcPr>
            <w:tcW w:w="1222" w:type="dxa"/>
            <w:tcBorders>
              <w:bottom w:val="single" w:sz="4" w:space="0" w:color="000000"/>
              <w:right w:val="single" w:sz="4" w:space="0" w:color="000000"/>
            </w:tcBorders>
            <w:shd w:color="000000" w:fill="FCE4D6" w:val="clear"/>
            <w:vAlign w:val="center"/>
          </w:tcPr>
          <w:p>
            <w:pPr>
              <w:pStyle w:val="Normal"/>
              <w:suppressAutoHyphens w:val="false"/>
              <w:spacing w:lineRule="auto" w:line="240"/>
              <w:ind w:hanging="0" w:left="0"/>
              <w:jc w:val="center"/>
              <w:textAlignment w:val="auto"/>
              <w:outlineLvl w:val="9"/>
              <w:rPr/>
            </w:pPr>
            <w:r>
              <w:rPr>
                <w:rFonts w:ascii="Calibri" w:hAnsi="Calibri"/>
                <w:b/>
                <w:bCs/>
                <w:color w:val="000000"/>
                <w:sz w:val="18"/>
                <w:szCs w:val="18"/>
              </w:rPr>
              <w:t>POUCO PROVAVEL</w:t>
            </w:r>
          </w:p>
        </w:tc>
        <w:tc>
          <w:tcPr>
            <w:tcW w:w="1655"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Descumprimento de formalidade legal</w:t>
            </w:r>
          </w:p>
        </w:tc>
        <w:tc>
          <w:tcPr>
            <w:tcW w:w="860" w:type="dxa"/>
            <w:tcBorders>
              <w:bottom w:val="single" w:sz="4" w:space="0" w:color="000000"/>
              <w:right w:val="single" w:sz="4" w:space="0" w:color="000000"/>
            </w:tcBorders>
            <w:shd w:color="000000" w:fill="B4C6E7" w:val="clear"/>
            <w:vAlign w:val="center"/>
          </w:tcPr>
          <w:p>
            <w:pPr>
              <w:pStyle w:val="Normal"/>
              <w:suppressAutoHyphens w:val="false"/>
              <w:spacing w:lineRule="auto" w:line="240"/>
              <w:ind w:hanging="0" w:left="0"/>
              <w:jc w:val="center"/>
              <w:textAlignment w:val="auto"/>
              <w:outlineLvl w:val="9"/>
              <w:rPr/>
            </w:pPr>
            <w:r>
              <w:rPr>
                <w:rFonts w:ascii="Calibri" w:hAnsi="Calibri"/>
                <w:b/>
                <w:bCs/>
                <w:color w:val="000000"/>
                <w:sz w:val="18"/>
                <w:szCs w:val="18"/>
              </w:rPr>
              <w:t>BAIXO</w:t>
            </w:r>
          </w:p>
        </w:tc>
        <w:tc>
          <w:tcPr>
            <w:tcW w:w="263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Adoção de checklist contemplando o item "publicação do contrato".</w:t>
            </w:r>
          </w:p>
        </w:tc>
        <w:tc>
          <w:tcPr>
            <w:tcW w:w="14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val="000000"/>
                <w:sz w:val="18"/>
                <w:szCs w:val="18"/>
              </w:rPr>
              <w:t>DEPARTAMENTO DE LICITAÇÃO</w:t>
            </w:r>
          </w:p>
        </w:tc>
        <w:tc>
          <w:tcPr>
            <w:tcW w:w="2243"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val="000000"/>
                <w:sz w:val="18"/>
                <w:szCs w:val="18"/>
              </w:rPr>
              <w:t>Publicar o contrato tão logo seja detectado a ausência de publicidade</w:t>
            </w:r>
          </w:p>
        </w:tc>
        <w:tc>
          <w:tcPr>
            <w:tcW w:w="1800"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val="000000"/>
                <w:sz w:val="18"/>
                <w:szCs w:val="18"/>
              </w:rPr>
              <w:t>DEPARTAMENTO DE LICITAÇÃO</w:t>
            </w:r>
          </w:p>
        </w:tc>
      </w:tr>
      <w:tr>
        <w:trPr>
          <w:trHeight w:val="1200" w:hRule="atLeast"/>
        </w:trPr>
        <w:tc>
          <w:tcPr>
            <w:tcW w:w="522"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right"/>
              <w:textAlignment w:val="auto"/>
              <w:outlineLvl w:val="9"/>
              <w:rPr/>
            </w:pPr>
            <w:r>
              <w:rPr>
                <w:rFonts w:ascii="Calibri" w:hAnsi="Calibri"/>
                <w:color w:themeColor="dark1" w:val="000000"/>
                <w:sz w:val="18"/>
                <w:szCs w:val="18"/>
              </w:rPr>
              <w:t>22</w:t>
            </w:r>
          </w:p>
        </w:tc>
        <w:tc>
          <w:tcPr>
            <w:tcW w:w="135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themeColor="dark1" w:val="000000"/>
                <w:sz w:val="18"/>
                <w:szCs w:val="18"/>
              </w:rPr>
              <w:t>GESTÃO DE CONTRATO</w:t>
            </w:r>
          </w:p>
        </w:tc>
        <w:tc>
          <w:tcPr>
            <w:tcW w:w="19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themeColor="dark1" w:val="000000"/>
                <w:sz w:val="18"/>
                <w:szCs w:val="18"/>
              </w:rPr>
              <w:t>Execução de serviços não previstos no contrato</w:t>
            </w:r>
          </w:p>
        </w:tc>
        <w:tc>
          <w:tcPr>
            <w:tcW w:w="1222" w:type="dxa"/>
            <w:tcBorders>
              <w:bottom w:val="single" w:sz="4" w:space="0" w:color="000000"/>
              <w:right w:val="single" w:sz="4" w:space="0" w:color="000000"/>
            </w:tcBorders>
            <w:shd w:color="000000" w:fill="FCE4D6" w:val="clear"/>
            <w:vAlign w:val="center"/>
          </w:tcPr>
          <w:p>
            <w:pPr>
              <w:pStyle w:val="Normal"/>
              <w:suppressAutoHyphens w:val="false"/>
              <w:spacing w:lineRule="auto" w:line="240"/>
              <w:ind w:hanging="0" w:left="0"/>
              <w:jc w:val="center"/>
              <w:textAlignment w:val="auto"/>
              <w:outlineLvl w:val="9"/>
              <w:rPr/>
            </w:pPr>
            <w:r>
              <w:rPr>
                <w:rFonts w:ascii="Calibri" w:hAnsi="Calibri"/>
                <w:b/>
                <w:bCs/>
                <w:color w:themeColor="dark1" w:val="000000"/>
                <w:sz w:val="18"/>
                <w:szCs w:val="18"/>
              </w:rPr>
              <w:t>PROVAVEL</w:t>
            </w:r>
          </w:p>
        </w:tc>
        <w:tc>
          <w:tcPr>
            <w:tcW w:w="1655"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themeColor="dark1" w:val="000000"/>
                <w:sz w:val="18"/>
                <w:szCs w:val="18"/>
              </w:rPr>
              <w:t>Identificação de serviços adicionais após o início execução de serviços; Custos não previstos; Atrasos nas etapas de execução de serviços e entrega do bem.</w:t>
            </w:r>
          </w:p>
        </w:tc>
        <w:tc>
          <w:tcPr>
            <w:tcW w:w="860" w:type="dxa"/>
            <w:tcBorders>
              <w:bottom w:val="single" w:sz="4" w:space="0" w:color="000000"/>
              <w:right w:val="single" w:sz="4" w:space="0" w:color="000000"/>
            </w:tcBorders>
            <w:shd w:color="000000" w:fill="B4C6E7" w:val="clear"/>
            <w:vAlign w:val="center"/>
          </w:tcPr>
          <w:p>
            <w:pPr>
              <w:pStyle w:val="Normal"/>
              <w:suppressAutoHyphens w:val="false"/>
              <w:spacing w:lineRule="auto" w:line="240"/>
              <w:ind w:hanging="0" w:left="0"/>
              <w:jc w:val="center"/>
              <w:textAlignment w:val="auto"/>
              <w:outlineLvl w:val="9"/>
              <w:rPr/>
            </w:pPr>
            <w:r>
              <w:rPr>
                <w:rFonts w:ascii="Calibri" w:hAnsi="Calibri"/>
                <w:b/>
                <w:bCs/>
                <w:color w:themeColor="dark1" w:val="000000"/>
                <w:sz w:val="18"/>
                <w:szCs w:val="18"/>
              </w:rPr>
              <w:t>MEDIO</w:t>
            </w:r>
          </w:p>
        </w:tc>
        <w:tc>
          <w:tcPr>
            <w:tcW w:w="263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themeColor="dark1" w:val="000000"/>
                <w:sz w:val="18"/>
                <w:szCs w:val="18"/>
              </w:rPr>
              <w:t>Adotar procedimentos de controle</w:t>
            </w:r>
          </w:p>
        </w:tc>
        <w:tc>
          <w:tcPr>
            <w:tcW w:w="14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themeColor="dark1" w:val="000000"/>
                <w:sz w:val="18"/>
                <w:szCs w:val="18"/>
              </w:rPr>
              <w:t>GESTOR DE CONTRATO/ FISCAL DE CONTRATO</w:t>
            </w:r>
          </w:p>
        </w:tc>
        <w:tc>
          <w:tcPr>
            <w:tcW w:w="2243"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themeColor="dark1" w:val="000000"/>
                <w:sz w:val="18"/>
                <w:szCs w:val="18"/>
              </w:rPr>
              <w:t>Monitoramento e controle da execução dos serviços; Aprovação apenas de itens imprescindíveis à consecução do objeto</w:t>
            </w:r>
          </w:p>
        </w:tc>
        <w:tc>
          <w:tcPr>
            <w:tcW w:w="1800"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themeColor="dark1" w:val="000000"/>
                <w:sz w:val="18"/>
                <w:szCs w:val="18"/>
              </w:rPr>
              <w:t>GESTOR DE CONTRATO/FISCAL DE CONTRATO</w:t>
            </w:r>
          </w:p>
        </w:tc>
      </w:tr>
      <w:tr>
        <w:trPr>
          <w:trHeight w:val="480" w:hRule="atLeast"/>
        </w:trPr>
        <w:tc>
          <w:tcPr>
            <w:tcW w:w="522"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right"/>
              <w:textAlignment w:val="auto"/>
              <w:outlineLvl w:val="9"/>
              <w:rPr/>
            </w:pPr>
            <w:r>
              <w:rPr>
                <w:rFonts w:ascii="Calibri" w:hAnsi="Calibri"/>
                <w:color w:themeColor="dark1" w:val="000000"/>
                <w:sz w:val="18"/>
                <w:szCs w:val="18"/>
              </w:rPr>
              <w:t>23</w:t>
            </w:r>
          </w:p>
        </w:tc>
        <w:tc>
          <w:tcPr>
            <w:tcW w:w="135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themeColor="dark1" w:val="000000"/>
                <w:sz w:val="18"/>
                <w:szCs w:val="18"/>
              </w:rPr>
              <w:t>GESTÃO DE CONTRATO</w:t>
            </w:r>
          </w:p>
        </w:tc>
        <w:tc>
          <w:tcPr>
            <w:tcW w:w="19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themeColor="dark1" w:val="000000"/>
                <w:sz w:val="18"/>
                <w:szCs w:val="18"/>
              </w:rPr>
              <w:t>Prorrogação de prazo injustificada</w:t>
            </w:r>
          </w:p>
        </w:tc>
        <w:tc>
          <w:tcPr>
            <w:tcW w:w="1222" w:type="dxa"/>
            <w:tcBorders>
              <w:bottom w:val="single" w:sz="4" w:space="0" w:color="000000"/>
              <w:right w:val="single" w:sz="4" w:space="0" w:color="000000"/>
            </w:tcBorders>
            <w:shd w:color="000000" w:fill="FCE4D6" w:val="clear"/>
            <w:vAlign w:val="center"/>
          </w:tcPr>
          <w:p>
            <w:pPr>
              <w:pStyle w:val="Normal"/>
              <w:suppressAutoHyphens w:val="false"/>
              <w:spacing w:lineRule="auto" w:line="240"/>
              <w:ind w:hanging="0" w:left="0"/>
              <w:jc w:val="center"/>
              <w:textAlignment w:val="auto"/>
              <w:outlineLvl w:val="9"/>
              <w:rPr/>
            </w:pPr>
            <w:r>
              <w:rPr>
                <w:rFonts w:ascii="Calibri" w:hAnsi="Calibri"/>
                <w:b/>
                <w:bCs/>
                <w:color w:themeColor="dark1" w:val="000000"/>
                <w:sz w:val="18"/>
                <w:szCs w:val="18"/>
              </w:rPr>
              <w:t>PROVAVEL</w:t>
            </w:r>
          </w:p>
        </w:tc>
        <w:tc>
          <w:tcPr>
            <w:tcW w:w="1655"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themeColor="dark1" w:val="000000"/>
                <w:sz w:val="18"/>
                <w:szCs w:val="18"/>
              </w:rPr>
              <w:t>Atraso na execução dos serviços;</w:t>
            </w:r>
          </w:p>
        </w:tc>
        <w:tc>
          <w:tcPr>
            <w:tcW w:w="860" w:type="dxa"/>
            <w:tcBorders>
              <w:bottom w:val="single" w:sz="4" w:space="0" w:color="000000"/>
              <w:right w:val="single" w:sz="4" w:space="0" w:color="000000"/>
            </w:tcBorders>
            <w:shd w:color="000000" w:fill="B4C6E7" w:val="clear"/>
            <w:vAlign w:val="center"/>
          </w:tcPr>
          <w:p>
            <w:pPr>
              <w:pStyle w:val="Normal"/>
              <w:suppressAutoHyphens w:val="false"/>
              <w:spacing w:lineRule="auto" w:line="240"/>
              <w:ind w:hanging="0" w:left="0"/>
              <w:jc w:val="center"/>
              <w:textAlignment w:val="auto"/>
              <w:outlineLvl w:val="9"/>
              <w:rPr/>
            </w:pPr>
            <w:r>
              <w:rPr>
                <w:rFonts w:ascii="Calibri" w:hAnsi="Calibri"/>
                <w:b/>
                <w:bCs/>
                <w:color w:themeColor="dark1" w:val="000000"/>
                <w:sz w:val="18"/>
                <w:szCs w:val="18"/>
              </w:rPr>
              <w:t>MEDIO</w:t>
            </w:r>
          </w:p>
        </w:tc>
        <w:tc>
          <w:tcPr>
            <w:tcW w:w="263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themeColor="dark1" w:val="000000"/>
                <w:sz w:val="18"/>
                <w:szCs w:val="18"/>
              </w:rPr>
              <w:t>Adotar procedimentos de controle</w:t>
            </w:r>
          </w:p>
        </w:tc>
        <w:tc>
          <w:tcPr>
            <w:tcW w:w="14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themeColor="dark1" w:val="000000"/>
                <w:sz w:val="18"/>
                <w:szCs w:val="18"/>
              </w:rPr>
              <w:t>GESTOR DE CONTRATO/FISCAL DE CONTRATO</w:t>
            </w:r>
          </w:p>
        </w:tc>
        <w:tc>
          <w:tcPr>
            <w:tcW w:w="2243"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themeColor="dark1" w:val="000000"/>
                <w:sz w:val="18"/>
                <w:szCs w:val="18"/>
              </w:rPr>
              <w:t>Apresentar justificativa fundamentada; Imputar penalidades contratuais</w:t>
            </w:r>
          </w:p>
        </w:tc>
        <w:tc>
          <w:tcPr>
            <w:tcW w:w="1800"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themeColor="dark1" w:val="000000"/>
                <w:sz w:val="18"/>
                <w:szCs w:val="18"/>
              </w:rPr>
              <w:t>GESTOR DE CONTRATO/FISCAL DE CONTRATO</w:t>
            </w:r>
          </w:p>
        </w:tc>
      </w:tr>
      <w:tr>
        <w:trPr>
          <w:trHeight w:val="3600" w:hRule="atLeast"/>
        </w:trPr>
        <w:tc>
          <w:tcPr>
            <w:tcW w:w="522"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right"/>
              <w:textAlignment w:val="auto"/>
              <w:outlineLvl w:val="9"/>
              <w:rPr/>
            </w:pPr>
            <w:r>
              <w:rPr>
                <w:rFonts w:ascii="Calibri" w:hAnsi="Calibri"/>
                <w:color w:themeColor="dark1" w:val="000000"/>
                <w:sz w:val="18"/>
                <w:szCs w:val="18"/>
              </w:rPr>
              <w:t>24</w:t>
            </w:r>
          </w:p>
        </w:tc>
        <w:tc>
          <w:tcPr>
            <w:tcW w:w="135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themeColor="dark1" w:val="000000"/>
                <w:sz w:val="18"/>
                <w:szCs w:val="18"/>
              </w:rPr>
              <w:t>GESTÃO DE CONTRATO</w:t>
            </w:r>
          </w:p>
        </w:tc>
        <w:tc>
          <w:tcPr>
            <w:tcW w:w="19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themeColor="dark1" w:val="000000"/>
                <w:sz w:val="18"/>
                <w:szCs w:val="18"/>
              </w:rPr>
              <w:t>Extinção anormal do contrato: - Resolução do contrato por inadimplemento da contratada sem justificativa suficiente. - Resolução por caso fortuito ou força maior. - Resilição do contrato por desinteresse da administração pública. -  Rescisão por desequilíbrio econômico/financeiro.</w:t>
            </w:r>
          </w:p>
        </w:tc>
        <w:tc>
          <w:tcPr>
            <w:tcW w:w="1222" w:type="dxa"/>
            <w:tcBorders>
              <w:bottom w:val="single" w:sz="4" w:space="0" w:color="000000"/>
              <w:right w:val="single" w:sz="4" w:space="0" w:color="000000"/>
            </w:tcBorders>
            <w:shd w:color="000000" w:fill="FCE4D6" w:val="clear"/>
            <w:vAlign w:val="center"/>
          </w:tcPr>
          <w:p>
            <w:pPr>
              <w:pStyle w:val="Normal"/>
              <w:suppressAutoHyphens w:val="false"/>
              <w:spacing w:lineRule="auto" w:line="240"/>
              <w:ind w:hanging="0" w:left="0"/>
              <w:jc w:val="center"/>
              <w:textAlignment w:val="auto"/>
              <w:outlineLvl w:val="9"/>
              <w:rPr/>
            </w:pPr>
            <w:r>
              <w:rPr>
                <w:rFonts w:ascii="Calibri" w:hAnsi="Calibri"/>
                <w:b/>
                <w:bCs/>
                <w:color w:themeColor="dark1" w:val="000000"/>
                <w:sz w:val="18"/>
                <w:szCs w:val="18"/>
              </w:rPr>
              <w:t>PROVAVEL</w:t>
            </w:r>
          </w:p>
        </w:tc>
        <w:tc>
          <w:tcPr>
            <w:tcW w:w="1655"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themeColor="dark1" w:val="000000"/>
                <w:sz w:val="18"/>
                <w:szCs w:val="18"/>
              </w:rPr>
              <w:t>Atraso na contratação dos serviços. Custos para a Administração</w:t>
            </w:r>
          </w:p>
        </w:tc>
        <w:tc>
          <w:tcPr>
            <w:tcW w:w="860" w:type="dxa"/>
            <w:tcBorders>
              <w:bottom w:val="single" w:sz="4" w:space="0" w:color="000000"/>
              <w:right w:val="single" w:sz="4" w:space="0" w:color="000000"/>
            </w:tcBorders>
            <w:shd w:color="000000" w:fill="B4C6E7" w:val="clear"/>
            <w:vAlign w:val="center"/>
          </w:tcPr>
          <w:p>
            <w:pPr>
              <w:pStyle w:val="Normal"/>
              <w:suppressAutoHyphens w:val="false"/>
              <w:spacing w:lineRule="auto" w:line="240"/>
              <w:ind w:hanging="0" w:left="0"/>
              <w:jc w:val="center"/>
              <w:textAlignment w:val="auto"/>
              <w:outlineLvl w:val="9"/>
              <w:rPr/>
            </w:pPr>
            <w:r>
              <w:rPr>
                <w:rFonts w:ascii="Calibri" w:hAnsi="Calibri"/>
                <w:b/>
                <w:bCs/>
                <w:color w:themeColor="dark1" w:val="000000"/>
                <w:sz w:val="18"/>
                <w:szCs w:val="18"/>
              </w:rPr>
              <w:t>MEDIO</w:t>
            </w:r>
          </w:p>
        </w:tc>
        <w:tc>
          <w:tcPr>
            <w:tcW w:w="263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themeColor="dark1" w:val="000000"/>
                <w:sz w:val="18"/>
                <w:szCs w:val="18"/>
              </w:rPr>
              <w:t>Adotar procedimentos de controle</w:t>
            </w:r>
          </w:p>
        </w:tc>
        <w:tc>
          <w:tcPr>
            <w:tcW w:w="14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themeColor="dark1" w:val="000000"/>
                <w:sz w:val="18"/>
                <w:szCs w:val="18"/>
              </w:rPr>
              <w:t>COMISSÃO DE LICITAÇÃO/PREGOEIRO</w:t>
            </w:r>
          </w:p>
        </w:tc>
        <w:tc>
          <w:tcPr>
            <w:tcW w:w="2243"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themeColor="dark1" w:val="000000"/>
                <w:sz w:val="18"/>
                <w:szCs w:val="18"/>
              </w:rPr>
              <w:t>Na elaboração do edital prever clausulas que respaldem a administração para eventual extinção anormal do contrato. Exigir no edital a prestação de garantias contratuais pela contratada.  Documentar todas as decisões tomadas.   Realizar planejamento orçamentário, especialmente se o projeto se estende por mais de um exercício financeiro.  Adotar forma de remuneração que mitigue eventuais desequilíbrios contratuais causados pelo risco.  Incluir cláusula de repactuação no contrato.  Solicitar orientação jurídica com relação à correta justificativa para os diferentes casos de finalização do contrato e quanto às providências cabíveis</w:t>
            </w:r>
          </w:p>
        </w:tc>
        <w:tc>
          <w:tcPr>
            <w:tcW w:w="1800"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themeColor="dark1" w:val="000000"/>
                <w:sz w:val="18"/>
                <w:szCs w:val="18"/>
              </w:rPr>
              <w:t>DEPARTAMENTO DE LICITAÇÃO</w:t>
            </w:r>
          </w:p>
        </w:tc>
      </w:tr>
      <w:tr>
        <w:trPr>
          <w:trHeight w:val="720" w:hRule="atLeast"/>
        </w:trPr>
        <w:tc>
          <w:tcPr>
            <w:tcW w:w="522" w:type="dxa"/>
            <w:tcBorders>
              <w:left w:val="single" w:sz="4" w:space="0" w:color="000000"/>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right"/>
              <w:textAlignment w:val="auto"/>
              <w:outlineLvl w:val="9"/>
              <w:rPr/>
            </w:pPr>
            <w:r>
              <w:rPr>
                <w:rFonts w:ascii="Calibri" w:hAnsi="Calibri"/>
                <w:color w:themeColor="dark1" w:val="000000"/>
                <w:sz w:val="18"/>
                <w:szCs w:val="18"/>
              </w:rPr>
              <w:t>25</w:t>
            </w:r>
          </w:p>
        </w:tc>
        <w:tc>
          <w:tcPr>
            <w:tcW w:w="135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themeColor="dark1" w:val="000000"/>
                <w:sz w:val="18"/>
                <w:szCs w:val="18"/>
              </w:rPr>
              <w:t>GESTÃO DE CONTRATO</w:t>
            </w:r>
          </w:p>
        </w:tc>
        <w:tc>
          <w:tcPr>
            <w:tcW w:w="19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themeColor="dark1" w:val="000000"/>
                <w:sz w:val="18"/>
                <w:szCs w:val="18"/>
              </w:rPr>
              <w:t>Não execução ou má execução do serviço</w:t>
            </w:r>
          </w:p>
        </w:tc>
        <w:tc>
          <w:tcPr>
            <w:tcW w:w="1222" w:type="dxa"/>
            <w:tcBorders>
              <w:bottom w:val="single" w:sz="4" w:space="0" w:color="000000"/>
              <w:right w:val="single" w:sz="4" w:space="0" w:color="000000"/>
            </w:tcBorders>
            <w:shd w:color="000000" w:fill="FCE4D6" w:val="clear"/>
            <w:vAlign w:val="center"/>
          </w:tcPr>
          <w:p>
            <w:pPr>
              <w:pStyle w:val="Normal"/>
              <w:suppressAutoHyphens w:val="false"/>
              <w:spacing w:lineRule="auto" w:line="240"/>
              <w:ind w:hanging="0" w:left="0"/>
              <w:jc w:val="center"/>
              <w:textAlignment w:val="auto"/>
              <w:outlineLvl w:val="9"/>
              <w:rPr/>
            </w:pPr>
            <w:r>
              <w:rPr>
                <w:rFonts w:ascii="Calibri" w:hAnsi="Calibri"/>
                <w:b/>
                <w:bCs/>
                <w:color w:themeColor="dark1" w:val="000000"/>
                <w:sz w:val="18"/>
                <w:szCs w:val="18"/>
              </w:rPr>
              <w:t>POUCO PROVAVEL</w:t>
            </w:r>
          </w:p>
        </w:tc>
        <w:tc>
          <w:tcPr>
            <w:tcW w:w="1655"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themeColor="dark1" w:val="000000"/>
                <w:sz w:val="18"/>
                <w:szCs w:val="18"/>
              </w:rPr>
              <w:t xml:space="preserve"> </w:t>
            </w:r>
            <w:r>
              <w:rPr>
                <w:rFonts w:ascii="Calibri" w:hAnsi="Calibri"/>
                <w:color w:themeColor="dark1" w:val="000000"/>
                <w:sz w:val="18"/>
                <w:szCs w:val="18"/>
              </w:rPr>
              <w:t>Impactará a continuidade e funcionamento do serviço publico</w:t>
            </w:r>
          </w:p>
        </w:tc>
        <w:tc>
          <w:tcPr>
            <w:tcW w:w="860" w:type="dxa"/>
            <w:tcBorders>
              <w:bottom w:val="single" w:sz="4" w:space="0" w:color="000000"/>
              <w:right w:val="single" w:sz="4" w:space="0" w:color="000000"/>
            </w:tcBorders>
            <w:shd w:color="000000" w:fill="B4C6E7" w:val="clear"/>
            <w:vAlign w:val="center"/>
          </w:tcPr>
          <w:p>
            <w:pPr>
              <w:pStyle w:val="Normal"/>
              <w:suppressAutoHyphens w:val="false"/>
              <w:spacing w:lineRule="auto" w:line="240"/>
              <w:ind w:hanging="0" w:left="0"/>
              <w:jc w:val="center"/>
              <w:textAlignment w:val="auto"/>
              <w:outlineLvl w:val="9"/>
              <w:rPr/>
            </w:pPr>
            <w:r>
              <w:rPr/>
            </w:r>
          </w:p>
        </w:tc>
        <w:tc>
          <w:tcPr>
            <w:tcW w:w="2639"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themeColor="dark1" w:val="000000"/>
                <w:sz w:val="18"/>
                <w:szCs w:val="18"/>
              </w:rPr>
              <w:t>Na execução do ETP e do Termo de Referência dotar procedimentos de controle de seleção de fornecedor.</w:t>
            </w:r>
          </w:p>
        </w:tc>
        <w:tc>
          <w:tcPr>
            <w:tcW w:w="1444"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themeColor="dark1" w:val="000000"/>
                <w:sz w:val="18"/>
                <w:szCs w:val="18"/>
              </w:rPr>
              <w:t>GESTOR DE CONTRATO/FISCAL DE CONTRATO</w:t>
            </w:r>
          </w:p>
        </w:tc>
        <w:tc>
          <w:tcPr>
            <w:tcW w:w="2243"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textAlignment w:val="auto"/>
              <w:outlineLvl w:val="9"/>
              <w:rPr/>
            </w:pPr>
            <w:r>
              <w:rPr>
                <w:rFonts w:ascii="Calibri" w:hAnsi="Calibri"/>
                <w:color w:themeColor="dark1" w:val="000000"/>
                <w:sz w:val="18"/>
                <w:szCs w:val="18"/>
              </w:rPr>
              <w:t>Exigir no contrato alguma garantia, prazos e/ou sanções de acordo com legislação vigente.</w:t>
            </w:r>
          </w:p>
        </w:tc>
        <w:tc>
          <w:tcPr>
            <w:tcW w:w="1800" w:type="dxa"/>
            <w:tcBorders>
              <w:bottom w:val="single" w:sz="4" w:space="0" w:color="000000"/>
              <w:right w:val="single" w:sz="4" w:space="0" w:color="000000"/>
            </w:tcBorders>
            <w:shd w:color="auto" w:fill="auto" w:val="clear"/>
            <w:vAlign w:val="center"/>
          </w:tcPr>
          <w:p>
            <w:pPr>
              <w:pStyle w:val="Normal"/>
              <w:suppressAutoHyphens w:val="false"/>
              <w:spacing w:lineRule="auto" w:line="240"/>
              <w:ind w:hanging="0" w:left="0"/>
              <w:jc w:val="center"/>
              <w:textAlignment w:val="auto"/>
              <w:outlineLvl w:val="9"/>
              <w:rPr/>
            </w:pPr>
            <w:r>
              <w:rPr>
                <w:rFonts w:ascii="Calibri" w:hAnsi="Calibri"/>
                <w:color w:themeColor="dark1" w:val="000000"/>
                <w:sz w:val="18"/>
                <w:szCs w:val="18"/>
              </w:rPr>
              <w:t>GESTOR DE CONTRATO/FISCAL DE CONTRATO</w:t>
            </w:r>
          </w:p>
        </w:tc>
      </w:tr>
    </w:tbl>
    <w:p>
      <w:pPr>
        <w:pStyle w:val="Normal"/>
        <w:ind w:hanging="3" w:left="1"/>
        <w:jc w:val="center"/>
        <w:rPr>
          <w:rFonts w:eastAsia="Merriweather"/>
          <w:b/>
          <w:sz w:val="28"/>
          <w:szCs w:val="28"/>
        </w:rPr>
      </w:pPr>
      <w:r>
        <w:rPr>
          <w:rFonts w:eastAsia="Merriweather"/>
          <w:b/>
          <w:sz w:val="28"/>
          <w:szCs w:val="28"/>
        </w:rPr>
      </w:r>
    </w:p>
    <w:p>
      <w:pPr>
        <w:pStyle w:val="Normal"/>
        <w:ind w:hanging="2" w:left="0"/>
        <w:jc w:val="center"/>
        <w:rPr>
          <w:rFonts w:ascii="Cambria Math" w:hAnsi="Cambria Math"/>
          <w:sz w:val="22"/>
          <w:szCs w:val="22"/>
        </w:rPr>
      </w:pPr>
      <w:r>
        <w:rPr>
          <w:rFonts w:ascii="Cambria Math" w:hAnsi="Cambria Math"/>
          <w:sz w:val="22"/>
          <w:szCs w:val="22"/>
        </w:rPr>
      </w:r>
    </w:p>
    <w:p>
      <w:pPr>
        <w:pStyle w:val="Normal"/>
        <w:ind w:hanging="2" w:left="0"/>
        <w:jc w:val="center"/>
        <w:rPr>
          <w:rFonts w:ascii="Cambria Math" w:hAnsi="Cambria Math"/>
          <w:sz w:val="22"/>
          <w:szCs w:val="22"/>
        </w:rPr>
      </w:pPr>
      <w:r>
        <w:rPr>
          <w:rFonts w:ascii="Cambria Math" w:hAnsi="Cambria Math"/>
          <w:sz w:val="22"/>
          <w:szCs w:val="22"/>
        </w:rPr>
      </w:r>
    </w:p>
    <w:p>
      <w:pPr>
        <w:pStyle w:val="Normal"/>
        <w:widowControl w:val="false"/>
        <w:tabs>
          <w:tab w:val="clear" w:pos="720"/>
          <w:tab w:val="left" w:pos="567" w:leader="none"/>
        </w:tabs>
        <w:spacing w:lineRule="auto" w:line="240"/>
        <w:ind w:hanging="0" w:left="0" w:right="-426"/>
        <w:jc w:val="center"/>
        <w:rPr/>
      </w:pPr>
      <w:r>
        <w:rPr>
          <w:rFonts w:eastAsia="Merriweather"/>
          <w:b/>
          <w:sz w:val="22"/>
          <w:szCs w:val="22"/>
        </w:rPr>
        <w:t>CLAUDIA JANZ DA SILVA</w:t>
      </w:r>
    </w:p>
    <w:p>
      <w:pPr>
        <w:pStyle w:val="Normal"/>
        <w:ind w:hanging="2" w:left="0"/>
        <w:jc w:val="center"/>
        <w:rPr/>
      </w:pPr>
      <w:r>
        <w:rPr>
          <w:rFonts w:eastAsia="SimSun"/>
          <w:kern w:val="2"/>
          <w:sz w:val="22"/>
          <w:szCs w:val="22"/>
          <w:lang w:eastAsia="zh-CN" w:bidi="hi-IN"/>
        </w:rPr>
        <w:t xml:space="preserve">      </w:t>
      </w:r>
      <w:r>
        <w:rPr>
          <w:rFonts w:eastAsia="SimSun"/>
          <w:kern w:val="2"/>
          <w:sz w:val="22"/>
          <w:szCs w:val="22"/>
          <w:lang w:eastAsia="zh-CN" w:bidi="hi-IN"/>
        </w:rPr>
        <w:t>Secretária de Administração</w:t>
      </w:r>
    </w:p>
    <w:p>
      <w:pPr>
        <w:pStyle w:val="Normal"/>
        <w:ind w:hanging="2" w:left="0"/>
        <w:jc w:val="center"/>
        <w:rPr>
          <w:rFonts w:ascii="Cambria Math" w:hAnsi="Cambria Math"/>
          <w:sz w:val="20"/>
        </w:rPr>
      </w:pPr>
      <w:r>
        <w:rPr>
          <w:rFonts w:ascii="Cambria Math" w:hAnsi="Cambria Math"/>
          <w:sz w:val="20"/>
        </w:rPr>
      </w:r>
    </w:p>
    <w:sectPr>
      <w:headerReference w:type="even" r:id="rId2"/>
      <w:headerReference w:type="default" r:id="rId3"/>
      <w:headerReference w:type="first" r:id="rId4"/>
      <w:footerReference w:type="even" r:id="rId5"/>
      <w:footerReference w:type="default" r:id="rId6"/>
      <w:footerReference w:type="first" r:id="rId7"/>
      <w:type w:val="nextPage"/>
      <w:pgSz w:orient="landscape" w:w="16838" w:h="11906"/>
      <w:pgMar w:left="720" w:right="720" w:gutter="0" w:header="720" w:top="777" w:footer="720" w:bottom="777"/>
      <w:pgNumType w:start="1" w:fmt="decimal"/>
      <w:formProt w:val="false"/>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Light">
    <w:charset w:val="00"/>
    <w:family w:val="roman"/>
    <w:pitch w:val="variable"/>
  </w:font>
  <w:font w:name="Segoe UI">
    <w:charset w:val="00"/>
    <w:family w:val="roman"/>
    <w:pitch w:val="variable"/>
  </w:font>
  <w:font w:name="Liberation Sans">
    <w:altName w:val="Arial"/>
    <w:charset w:val="00"/>
    <w:family w:val="roman"/>
    <w:pitch w:val="variable"/>
  </w:font>
  <w:font w:name="Nyala">
    <w:charset w:val="00"/>
    <w:family w:val="roman"/>
    <w:pitch w:val="variable"/>
  </w:font>
  <w:font w:name="Georgia">
    <w:charset w:val="00"/>
    <w:family w:val="roman"/>
    <w:pitch w:val="variable"/>
  </w:font>
  <w:font w:name="Calibri">
    <w:charset w:val="00"/>
    <w:family w:val="roman"/>
    <w:pitch w:val="variable"/>
  </w:font>
  <w:font w:name="Cambria Math">
    <w:charset w:val="00"/>
    <w:family w:val="roman"/>
    <w:pitch w:val="variable"/>
  </w:font>
  <w:font w:name="Algerian">
    <w:altName w:val="comic"/>
    <w:charset w:val="00"/>
    <w:family w:val="roman"/>
    <w:pitch w:val="variable"/>
  </w:font>
  <w:font w:name="BankGothic Lt BT">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center"/>
      <w:rPr>
        <w:rFonts w:ascii="BankGothic Lt BT" w:hAnsi="BankGothic Lt BT"/>
        <w:sz w:val="14"/>
        <w:szCs w:val="14"/>
      </w:rPr>
    </w:pPr>
    <w:r>
      <w:rPr>
        <w:rFonts w:ascii="BankGothic Lt BT" w:hAnsi="BankGothic Lt BT"/>
        <w:sz w:val="14"/>
        <w:szCs w:val="14"/>
      </w:rPr>
      <w:t>Rua Frei Rafael Proner  nº 1457 – Caixa Postal 281 – CEP 86.360-000 –– Tel: (43) 3542-4525 – Fax 3542-3322  e CNPJ 76.235.753/0001-48</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center"/>
      <w:rPr>
        <w:rFonts w:ascii="BankGothic Lt BT" w:hAnsi="BankGothic Lt BT"/>
        <w:sz w:val="14"/>
        <w:szCs w:val="14"/>
      </w:rPr>
    </w:pPr>
    <w:r>
      <w:rPr>
        <w:rFonts w:ascii="BankGothic Lt BT" w:hAnsi="BankGothic Lt BT"/>
        <w:sz w:val="14"/>
        <w:szCs w:val="14"/>
      </w:rPr>
      <w:t>Rua Frei Rafael Proner  nº 1457 – Caixa Postal 281 – CEP 86.360-000 –– Tel: (43) 3542-4525 – Fax 3542-3322  e CNPJ 76.235.753/0001-48</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252" w:leader="none"/>
        <w:tab w:val="right" w:pos="8504" w:leader="none"/>
      </w:tabs>
      <w:spacing w:lineRule="auto" w:line="240"/>
      <w:ind w:hanging="2" w:left="0"/>
      <w:rPr>
        <w:color w:val="000000"/>
      </w:rPr>
    </w:pPr>
    <w:r>
      <w:rPr>
        <w:color w:val="000000"/>
      </w:rPr>
      <w:drawing>
        <wp:anchor behindDoc="1" distT="0" distB="0" distL="0" distR="0" simplePos="0" locked="0" layoutInCell="1" allowOverlap="1" relativeHeight="8">
          <wp:simplePos x="0" y="0"/>
          <wp:positionH relativeFrom="column">
            <wp:posOffset>1824355</wp:posOffset>
          </wp:positionH>
          <wp:positionV relativeFrom="paragraph">
            <wp:posOffset>-219710</wp:posOffset>
          </wp:positionV>
          <wp:extent cx="1003300" cy="1193800"/>
          <wp:effectExtent l="0" t="0" r="0" b="0"/>
          <wp:wrapNone/>
          <wp:docPr id="1"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
                  <pic:cNvPicPr>
                    <a:picLocks noChangeAspect="1" noChangeArrowheads="1"/>
                  </pic:cNvPicPr>
                </pic:nvPicPr>
                <pic:blipFill>
                  <a:blip r:embed="rId1"/>
                  <a:stretch>
                    <a:fillRect/>
                  </a:stretch>
                </pic:blipFill>
                <pic:spPr bwMode="auto">
                  <a:xfrm>
                    <a:off x="0" y="0"/>
                    <a:ext cx="1003300" cy="1193800"/>
                  </a:xfrm>
                  <a:prstGeom prst="rect">
                    <a:avLst/>
                  </a:prstGeom>
                  <a:noFill/>
                </pic:spPr>
              </pic:pic>
            </a:graphicData>
          </a:graphic>
        </wp:anchor>
      </w:drawing>
      <mc:AlternateContent>
        <mc:Choice Requires="wps">
          <w:drawing>
            <wp:anchor behindDoc="1" distT="0" distB="0" distL="635" distR="0" simplePos="0" locked="0" layoutInCell="1" allowOverlap="1" relativeHeight="21" wp14:anchorId="1A8E4D00">
              <wp:simplePos x="0" y="0"/>
              <wp:positionH relativeFrom="column">
                <wp:posOffset>2724150</wp:posOffset>
              </wp:positionH>
              <wp:positionV relativeFrom="paragraph">
                <wp:posOffset>-103505</wp:posOffset>
              </wp:positionV>
              <wp:extent cx="5145405" cy="1078230"/>
              <wp:effectExtent l="635" t="0" r="0" b="0"/>
              <wp:wrapNone/>
              <wp:docPr id="2" name="Retângulo 3"/>
              <a:graphic xmlns:a="http://schemas.openxmlformats.org/drawingml/2006/main">
                <a:graphicData uri="http://schemas.microsoft.com/office/word/2010/wordprocessingShape">
                  <wps:wsp>
                    <wps:cNvSpPr/>
                    <wps:spPr>
                      <a:xfrm>
                        <a:off x="0" y="0"/>
                        <a:ext cx="5145480" cy="1078200"/>
                      </a:xfrm>
                      <a:prstGeom prst="rect">
                        <a:avLst/>
                      </a:prstGeom>
                      <a:noFill/>
                      <a:ln w="0">
                        <a:noFill/>
                      </a:ln>
                    </wps:spPr>
                    <wps:style>
                      <a:lnRef idx="0"/>
                      <a:fillRef idx="0"/>
                      <a:effectRef idx="0"/>
                      <a:fontRef idx="minor"/>
                    </wps:style>
                    <wps:txbx>
                      <w:txbxContent>
                        <w:p>
                          <w:pPr>
                            <w:pStyle w:val="Contedodoquadro"/>
                            <w:spacing w:lineRule="auto" w:line="240" w:before="360" w:after="0"/>
                            <w:ind w:hanging="4" w:left="2"/>
                            <w:jc w:val="center"/>
                            <w:rPr>
                              <w:sz w:val="36"/>
                              <w:szCs w:val="36"/>
                            </w:rPr>
                          </w:pPr>
                          <w:r>
                            <w:rPr>
                              <w:rFonts w:eastAsia="Algerian" w:cs="Algerian" w:ascii="Algerian" w:hAnsi="Algerian"/>
                              <w:i/>
                              <w:color w:val="000000"/>
                              <w:sz w:val="36"/>
                              <w:szCs w:val="36"/>
                            </w:rPr>
                            <w:t>PREFEITURA MUNICIPAL DE BANDEIRANTES</w:t>
                          </w:r>
                        </w:p>
                        <w:p>
                          <w:pPr>
                            <w:pStyle w:val="Contedodoquadro"/>
                            <w:spacing w:lineRule="auto" w:line="240" w:before="120" w:after="0"/>
                            <w:ind w:hanging="3" w:left="1"/>
                            <w:jc w:val="center"/>
                            <w:rPr>
                              <w:sz w:val="28"/>
                              <w:szCs w:val="28"/>
                            </w:rPr>
                          </w:pPr>
                          <w:r>
                            <w:rPr>
                              <w:rFonts w:eastAsia="Algerian" w:cs="Algerian" w:ascii="Algerian" w:hAnsi="Algerian"/>
                              <w:i/>
                              <w:color w:val="000000"/>
                              <w:sz w:val="28"/>
                              <w:szCs w:val="28"/>
                            </w:rPr>
                            <w:t>ESTADO DO PARANÁ</w:t>
                          </w:r>
                        </w:p>
                        <w:p>
                          <w:pPr>
                            <w:pStyle w:val="Contedodoquadro"/>
                            <w:spacing w:lineRule="auto" w:line="240"/>
                            <w:ind w:hanging="2" w:left="0"/>
                            <w:rPr>
                              <w:color w:val="000000"/>
                            </w:rPr>
                          </w:pPr>
                          <w:r>
                            <w:rPr>
                              <w:color w:val="000000"/>
                            </w:rPr>
                          </w:r>
                        </w:p>
                      </w:txbxContent>
                    </wps:txbx>
                    <wps:bodyPr anchor="t" upright="1">
                      <a:noAutofit/>
                    </wps:bodyPr>
                  </wps:wsp>
                </a:graphicData>
              </a:graphic>
            </wp:anchor>
          </w:drawing>
        </mc:Choice>
        <mc:Fallback>
          <w:pict>
            <v:rect id="shape_0" ID="Retângulo 3" path="m0,0l-2147483645,0l-2147483645,-2147483646l0,-2147483646xe" stroked="f" o:allowincell="f" style="position:absolute;margin-left:214.5pt;margin-top:-8.15pt;width:405.1pt;height:84.85pt;mso-wrap-style:square;v-text-anchor:top" wp14:anchorId="1A8E4D00">
              <v:fill o:detectmouseclick="t" on="false"/>
              <v:stroke color="#3465a4" joinstyle="round" endcap="flat"/>
              <v:textbox>
                <w:txbxContent>
                  <w:p>
                    <w:pPr>
                      <w:pStyle w:val="Contedodoquadro"/>
                      <w:spacing w:lineRule="auto" w:line="240" w:before="360" w:after="0"/>
                      <w:ind w:hanging="4" w:left="2"/>
                      <w:jc w:val="center"/>
                      <w:rPr>
                        <w:sz w:val="36"/>
                        <w:szCs w:val="36"/>
                      </w:rPr>
                    </w:pPr>
                    <w:r>
                      <w:rPr>
                        <w:rFonts w:eastAsia="Algerian" w:cs="Algerian" w:ascii="Algerian" w:hAnsi="Algerian"/>
                        <w:i/>
                        <w:color w:val="000000"/>
                        <w:sz w:val="36"/>
                        <w:szCs w:val="36"/>
                      </w:rPr>
                      <w:t>PREFEITURA MUNICIPAL DE BANDEIRANTES</w:t>
                    </w:r>
                  </w:p>
                  <w:p>
                    <w:pPr>
                      <w:pStyle w:val="Contedodoquadro"/>
                      <w:spacing w:lineRule="auto" w:line="240" w:before="120" w:after="0"/>
                      <w:ind w:hanging="3" w:left="1"/>
                      <w:jc w:val="center"/>
                      <w:rPr>
                        <w:sz w:val="28"/>
                        <w:szCs w:val="28"/>
                      </w:rPr>
                    </w:pPr>
                    <w:r>
                      <w:rPr>
                        <w:rFonts w:eastAsia="Algerian" w:cs="Algerian" w:ascii="Algerian" w:hAnsi="Algerian"/>
                        <w:i/>
                        <w:color w:val="000000"/>
                        <w:sz w:val="28"/>
                        <w:szCs w:val="28"/>
                      </w:rPr>
                      <w:t>ESTADO DO PARANÁ</w:t>
                    </w:r>
                  </w:p>
                  <w:p>
                    <w:pPr>
                      <w:pStyle w:val="Contedodoquadro"/>
                      <w:spacing w:lineRule="auto" w:line="240"/>
                      <w:ind w:hanging="2" w:left="0"/>
                      <w:rPr>
                        <w:color w:val="000000"/>
                      </w:rPr>
                    </w:pPr>
                    <w:r>
                      <w:rPr>
                        <w:color w:val="000000"/>
                      </w:rPr>
                    </w:r>
                  </w:p>
                </w:txbxContent>
              </v:textbox>
              <w10:wrap type="none"/>
            </v:rect>
          </w:pict>
        </mc:Fallback>
      </mc:AlternateContent>
      <mc:AlternateContent>
        <mc:Choice Requires="wps">
          <w:drawing>
            <wp:anchor behindDoc="1" distT="635" distB="0" distL="635" distR="0" simplePos="0" locked="0" layoutInCell="0" allowOverlap="1" relativeHeight="36">
              <wp:simplePos x="0" y="0"/>
              <wp:positionH relativeFrom="rightMargin">
                <wp:align>center</wp:align>
              </wp:positionH>
              <wp:positionV relativeFrom="margin">
                <wp:align>top</wp:align>
              </wp:positionV>
              <wp:extent cx="581025" cy="409575"/>
              <wp:effectExtent l="635" t="635" r="0" b="0"/>
              <wp:wrapNone/>
              <wp:docPr id="3" name="Seta para a Direita 16"/>
              <a:graphic xmlns:a="http://schemas.openxmlformats.org/drawingml/2006/main">
                <a:graphicData uri="http://schemas.microsoft.com/office/word/2010/wordprocessingShape">
                  <wps:wsp>
                    <wps:cNvSpPr/>
                    <wps:spPr>
                      <a:xfrm rot="10800000">
                        <a:off x="0" y="0"/>
                        <a:ext cx="581040" cy="409680"/>
                      </a:xfrm>
                      <a:prstGeom prst="rightArrow">
                        <a:avLst>
                          <a:gd name="adj1" fmla="val 50278"/>
                          <a:gd name="adj2" fmla="val 52482"/>
                        </a:avLst>
                      </a:prstGeom>
                      <a:solidFill>
                        <a:srgbClr val="c0504d"/>
                      </a:solidFill>
                      <a:ln w="0">
                        <a:noFill/>
                      </a:ln>
                    </wps:spPr>
                    <wps:style>
                      <a:lnRef idx="0"/>
                      <a:fillRef idx="0"/>
                      <a:effectRef idx="0"/>
                      <a:fontRef idx="minor"/>
                    </wps:style>
                    <wps:txbx>
                      <w:txbxContent>
                        <w:sdt>
                          <w:sdtPr>
                            <w:docPartObj>
                              <w:docPartGallery w:val="Page Numbers (Margins)"/>
                              <w:docPartUnique w:val="true"/>
                            </w:docPartObj>
                          </w:sdtPr>
                          <w:sdtContent>
                            <w:p>
                              <w:pPr>
                                <w:pStyle w:val="Footer"/>
                                <w:ind w:hanging="2" w:left="0"/>
                                <w:jc w:val="center"/>
                                <w:rPr>
                                  <w:color w:themeColor="background1" w:val="FFFFFF"/>
                                </w:rPr>
                              </w:pPr>
                              <w:r>
                                <w:rPr>
                                  <w:color w:themeColor="background1" w:val="FFFFFF"/>
                                </w:rPr>
                                <w:fldChar w:fldCharType="begin"/>
                              </w:r>
                              <w:r>
                                <w:rPr>
                                  <w:color w:themeColor="background1" w:val="FFFFFF"/>
                                </w:rPr>
                                <w:instrText xml:space="preserve"> PAGE </w:instrText>
                              </w:r>
                              <w:r>
                                <w:rPr>
                                  <w:color w:themeColor="background1" w:val="FFFFFF"/>
                                </w:rPr>
                                <w:fldChar w:fldCharType="separate"/>
                              </w:r>
                              <w:r>
                                <w:rPr>
                                  <w:color w:themeColor="background1" w:val="FFFFFF"/>
                                </w:rPr>
                                <w:t>7</w:t>
                              </w:r>
                              <w:r>
                                <w:rPr>
                                  <w:color w:themeColor="background1" w:val="FFFFFF"/>
                                </w:rPr>
                                <w:fldChar w:fldCharType="end"/>
                              </w:r>
                            </w:p>
                            <w:p>
                              <w:pPr>
                                <w:pStyle w:val="Contedodoquadro"/>
                                <w:ind w:hanging="2" w:left="0"/>
                                <w:rPr>
                                  <w:color w:val="000000"/>
                                </w:rPr>
                              </w:pPr>
                              <w:r>
                                <w:rPr>
                                  <w:color w:val="000000"/>
                                </w:rPr>
                              </w:r>
                            </w:p>
                          </w:sdtContent>
                        </w:sdt>
                      </w:txbxContent>
                    </wps:txbx>
                    <wps:bodyPr tIns="0" bIns="0" anchor="t">
                      <a:noAutofit/>
                    </wps:bodyPr>
                  </wps:wsp>
                </a:graphicData>
              </a:graphic>
            </wp:anchor>
          </w:drawing>
        </mc:Choice>
        <mc:Fallback>
          <w:pict>
            <v:shapetype id="_x0000_t13" coordsize="21600,21600" o:spt="13" adj="10800,10800" path="m0@5l@3@5l@3,l21600,10800l@3,21600l@3@6l0@6xe">
              <v:stroke joinstyle="miter"/>
              <v:formulas>
                <v:f eqn="val 21600"/>
                <v:f eqn="val #1"/>
                <v:f eqn="val #0"/>
                <v:f eqn="sum width 0 @2"/>
                <v:f eqn="prod 1 @1 2"/>
                <v:f eqn="sum 10800 0 @4"/>
                <v:f eqn="sum 10800 @4 0"/>
                <v:f eqn="prod @5 @2 10800"/>
                <v:f eqn="sum @3 @7 0"/>
              </v:formulas>
              <v:path gradientshapeok="t" o:connecttype="rect" textboxrect="0,@5,@8,@6"/>
              <v:handles>
                <v:h position="0,@5"/>
                <v:h position="@3,0"/>
              </v:handles>
            </v:shapetype>
            <v:shape id="shape_0" ID="Seta para a Direita 16" path="l-2147483635,-2147483631l-2147483635,0l-2147483622,-2147483632l-2147483635,-2147483623l-2147483635,-2147483629l0,-2147483629xe" fillcolor="#c0504d" stroked="f" o:allowincell="f" style="position:absolute;margin-left:-4.9pt;margin-top:0.05pt;width:45.7pt;height:32.2pt;mso-wrap-style:square;v-text-anchor:top;rotation:180;mso-position-horizontal:center;mso-position-horizontal-relative:page;mso-position-vertical:top;mso-position-vertical-relative:margin" type="_x0000_t13">
              <v:fill o:detectmouseclick="t" type="solid" color2="#3fafb2"/>
              <v:stroke color="#3465a4" joinstyle="round" endcap="flat"/>
              <v:textbox>
                <w:txbxContent>
                  <w:sdt>
                    <w:sdtPr>
                      <w:docPartObj>
                        <w:docPartGallery w:val="Page Numbers (Margins)"/>
                        <w:docPartUnique w:val="true"/>
                      </w:docPartObj>
                    </w:sdtPr>
                    <w:sdtContent>
                      <w:p>
                        <w:pPr>
                          <w:pStyle w:val="Footer"/>
                          <w:ind w:hanging="2" w:left="0"/>
                          <w:jc w:val="center"/>
                          <w:rPr>
                            <w:color w:themeColor="background1" w:val="FFFFFF"/>
                          </w:rPr>
                        </w:pPr>
                        <w:r>
                          <w:rPr>
                            <w:color w:themeColor="background1" w:val="FFFFFF"/>
                          </w:rPr>
                          <w:fldChar w:fldCharType="begin"/>
                        </w:r>
                        <w:r>
                          <w:rPr>
                            <w:color w:themeColor="background1" w:val="FFFFFF"/>
                          </w:rPr>
                          <w:instrText xml:space="preserve"> PAGE </w:instrText>
                        </w:r>
                        <w:r>
                          <w:rPr>
                            <w:color w:themeColor="background1" w:val="FFFFFF"/>
                          </w:rPr>
                          <w:fldChar w:fldCharType="separate"/>
                        </w:r>
                        <w:r>
                          <w:rPr>
                            <w:color w:themeColor="background1" w:val="FFFFFF"/>
                          </w:rPr>
                          <w:t>7</w:t>
                        </w:r>
                        <w:r>
                          <w:rPr>
                            <w:color w:themeColor="background1" w:val="FFFFFF"/>
                          </w:rPr>
                          <w:fldChar w:fldCharType="end"/>
                        </w:r>
                      </w:p>
                      <w:p>
                        <w:pPr>
                          <w:pStyle w:val="Contedodoquadro"/>
                          <w:ind w:hanging="2" w:left="0"/>
                          <w:rPr>
                            <w:color w:val="000000"/>
                          </w:rPr>
                        </w:pPr>
                        <w:r>
                          <w:rPr>
                            <w:color w:val="000000"/>
                          </w:rPr>
                        </w:r>
                      </w:p>
                    </w:sdtContent>
                  </w:sdt>
                </w:txbxContent>
              </v:textbox>
              <w10:wrap type="none"/>
            </v:shape>
          </w:pict>
        </mc:Fallback>
      </mc:AlternateContent>
    </w:r>
  </w:p>
  <w:p>
    <w:pPr>
      <w:pStyle w:val="Normal"/>
      <w:tabs>
        <w:tab w:val="clear" w:pos="720"/>
        <w:tab w:val="left" w:pos="12424" w:leader="none"/>
      </w:tabs>
      <w:spacing w:lineRule="auto" w:line="240"/>
      <w:ind w:hanging="2" w:left="0"/>
      <w:rPr>
        <w:color w:val="000000"/>
      </w:rPr>
    </w:pPr>
    <w:r>
      <w:rPr>
        <w:color w:val="000000"/>
      </w:rPr>
      <w:tab/>
      <w:tab/>
    </w:r>
  </w:p>
  <w:p>
    <w:pPr>
      <w:pStyle w:val="Normal"/>
      <w:tabs>
        <w:tab w:val="clear" w:pos="720"/>
        <w:tab w:val="left" w:pos="12424" w:leader="none"/>
      </w:tabs>
      <w:spacing w:lineRule="auto" w:line="240"/>
      <w:ind w:hanging="2" w:left="0"/>
      <w:rPr>
        <w:color w:val="000000"/>
      </w:rPr>
    </w:pPr>
    <w:r>
      <w:rPr>
        <w:color w:val="000000"/>
      </w:rPr>
    </w:r>
  </w:p>
  <w:p>
    <w:pPr>
      <w:pStyle w:val="Normal"/>
      <w:tabs>
        <w:tab w:val="clear" w:pos="720"/>
        <w:tab w:val="left" w:pos="12424" w:leader="none"/>
      </w:tabs>
      <w:spacing w:lineRule="auto" w:line="240"/>
      <w:ind w:hanging="2" w:left="0"/>
      <w:rPr>
        <w:color w:val="000000"/>
      </w:rPr>
    </w:pPr>
    <w:r>
      <w:rPr>
        <w:color w:val="000000"/>
      </w:rPr>
    </w:r>
  </w:p>
  <w:p>
    <w:pPr>
      <w:pStyle w:val="Normal"/>
      <w:tabs>
        <w:tab w:val="clear" w:pos="720"/>
        <w:tab w:val="left" w:pos="12424" w:leader="none"/>
      </w:tabs>
      <w:spacing w:lineRule="auto" w:line="240"/>
      <w:ind w:hanging="2" w:left="0"/>
      <w:rPr>
        <w:color w:val="000000"/>
      </w:rPr>
    </w:pPr>
    <w:r>
      <w:rPr>
        <w:color w:val="000000"/>
      </w:rPr>
    </w:r>
  </w:p>
  <w:p>
    <w:pPr>
      <w:pStyle w:val="Normal"/>
      <w:tabs>
        <w:tab w:val="clear" w:pos="720"/>
        <w:tab w:val="left" w:pos="12424" w:leader="none"/>
      </w:tabs>
      <w:spacing w:lineRule="auto" w:line="240"/>
      <w:ind w:hanging="2" w:left="0"/>
      <w:rPr>
        <w:color w:val="000000"/>
      </w:rPr>
    </w:pPr>
    <w:r>
      <w:rPr>
        <w:color w:val="000000"/>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252" w:leader="none"/>
        <w:tab w:val="right" w:pos="8504" w:leader="none"/>
      </w:tabs>
      <w:spacing w:lineRule="auto" w:line="240"/>
      <w:ind w:hanging="2" w:left="0"/>
      <w:rPr>
        <w:color w:val="000000"/>
      </w:rPr>
    </w:pPr>
    <w:r>
      <w:rPr>
        <w:color w:val="000000"/>
      </w:rPr>
      <w:drawing>
        <wp:anchor behindDoc="1" distT="0" distB="0" distL="0" distR="0" simplePos="0" locked="0" layoutInCell="1" allowOverlap="1" relativeHeight="8">
          <wp:simplePos x="0" y="0"/>
          <wp:positionH relativeFrom="column">
            <wp:posOffset>1824355</wp:posOffset>
          </wp:positionH>
          <wp:positionV relativeFrom="paragraph">
            <wp:posOffset>-219710</wp:posOffset>
          </wp:positionV>
          <wp:extent cx="1003300" cy="1193800"/>
          <wp:effectExtent l="0" t="0" r="0" b="0"/>
          <wp:wrapNone/>
          <wp:docPr id="4"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descr=""/>
                  <pic:cNvPicPr>
                    <a:picLocks noChangeAspect="1" noChangeArrowheads="1"/>
                  </pic:cNvPicPr>
                </pic:nvPicPr>
                <pic:blipFill>
                  <a:blip r:embed="rId1"/>
                  <a:stretch>
                    <a:fillRect/>
                  </a:stretch>
                </pic:blipFill>
                <pic:spPr bwMode="auto">
                  <a:xfrm>
                    <a:off x="0" y="0"/>
                    <a:ext cx="1003300" cy="1193800"/>
                  </a:xfrm>
                  <a:prstGeom prst="rect">
                    <a:avLst/>
                  </a:prstGeom>
                  <a:noFill/>
                </pic:spPr>
              </pic:pic>
            </a:graphicData>
          </a:graphic>
        </wp:anchor>
      </w:drawing>
      <mc:AlternateContent>
        <mc:Choice Requires="wps">
          <w:drawing>
            <wp:anchor behindDoc="1" distT="0" distB="0" distL="635" distR="0" simplePos="0" locked="0" layoutInCell="1" allowOverlap="1" relativeHeight="21" wp14:anchorId="1A8E4D00">
              <wp:simplePos x="0" y="0"/>
              <wp:positionH relativeFrom="column">
                <wp:posOffset>2724150</wp:posOffset>
              </wp:positionH>
              <wp:positionV relativeFrom="paragraph">
                <wp:posOffset>-103505</wp:posOffset>
              </wp:positionV>
              <wp:extent cx="5145405" cy="1078230"/>
              <wp:effectExtent l="635" t="0" r="0" b="0"/>
              <wp:wrapNone/>
              <wp:docPr id="5" name="Retângulo 3"/>
              <a:graphic xmlns:a="http://schemas.openxmlformats.org/drawingml/2006/main">
                <a:graphicData uri="http://schemas.microsoft.com/office/word/2010/wordprocessingShape">
                  <wps:wsp>
                    <wps:cNvSpPr/>
                    <wps:spPr>
                      <a:xfrm>
                        <a:off x="0" y="0"/>
                        <a:ext cx="5145480" cy="1078200"/>
                      </a:xfrm>
                      <a:prstGeom prst="rect">
                        <a:avLst/>
                      </a:prstGeom>
                      <a:noFill/>
                      <a:ln w="0">
                        <a:noFill/>
                      </a:ln>
                    </wps:spPr>
                    <wps:style>
                      <a:lnRef idx="0"/>
                      <a:fillRef idx="0"/>
                      <a:effectRef idx="0"/>
                      <a:fontRef idx="minor"/>
                    </wps:style>
                    <wps:txbx>
                      <w:txbxContent>
                        <w:p>
                          <w:pPr>
                            <w:pStyle w:val="Contedodoquadro"/>
                            <w:spacing w:lineRule="auto" w:line="240" w:before="360" w:after="0"/>
                            <w:ind w:hanging="4" w:left="2"/>
                            <w:jc w:val="center"/>
                            <w:rPr>
                              <w:sz w:val="36"/>
                              <w:szCs w:val="36"/>
                            </w:rPr>
                          </w:pPr>
                          <w:r>
                            <w:rPr>
                              <w:rFonts w:eastAsia="Algerian" w:cs="Algerian" w:ascii="Algerian" w:hAnsi="Algerian"/>
                              <w:i/>
                              <w:color w:val="000000"/>
                              <w:sz w:val="36"/>
                              <w:szCs w:val="36"/>
                            </w:rPr>
                            <w:t>PREFEITURA MUNICIPAL DE BANDEIRANTES</w:t>
                          </w:r>
                        </w:p>
                        <w:p>
                          <w:pPr>
                            <w:pStyle w:val="Contedodoquadro"/>
                            <w:spacing w:lineRule="auto" w:line="240" w:before="120" w:after="0"/>
                            <w:ind w:hanging="3" w:left="1"/>
                            <w:jc w:val="center"/>
                            <w:rPr>
                              <w:sz w:val="28"/>
                              <w:szCs w:val="28"/>
                            </w:rPr>
                          </w:pPr>
                          <w:r>
                            <w:rPr>
                              <w:rFonts w:eastAsia="Algerian" w:cs="Algerian" w:ascii="Algerian" w:hAnsi="Algerian"/>
                              <w:i/>
                              <w:color w:val="000000"/>
                              <w:sz w:val="28"/>
                              <w:szCs w:val="28"/>
                            </w:rPr>
                            <w:t>ESTADO DO PARANÁ</w:t>
                          </w:r>
                        </w:p>
                        <w:p>
                          <w:pPr>
                            <w:pStyle w:val="Contedodoquadro"/>
                            <w:spacing w:lineRule="auto" w:line="240"/>
                            <w:ind w:hanging="2" w:left="0"/>
                            <w:rPr>
                              <w:color w:val="000000"/>
                            </w:rPr>
                          </w:pPr>
                          <w:r>
                            <w:rPr>
                              <w:color w:val="000000"/>
                            </w:rPr>
                          </w:r>
                        </w:p>
                      </w:txbxContent>
                    </wps:txbx>
                    <wps:bodyPr anchor="t" upright="1">
                      <a:noAutofit/>
                    </wps:bodyPr>
                  </wps:wsp>
                </a:graphicData>
              </a:graphic>
            </wp:anchor>
          </w:drawing>
        </mc:Choice>
        <mc:Fallback>
          <w:pict>
            <v:rect id="shape_0" ID="Retângulo 3" path="m0,0l-2147483645,0l-2147483645,-2147483646l0,-2147483646xe" stroked="f" o:allowincell="f" style="position:absolute;margin-left:214.5pt;margin-top:-8.15pt;width:405.1pt;height:84.85pt;mso-wrap-style:square;v-text-anchor:top" wp14:anchorId="1A8E4D00">
              <v:fill o:detectmouseclick="t" on="false"/>
              <v:stroke color="#3465a4" joinstyle="round" endcap="flat"/>
              <v:textbox>
                <w:txbxContent>
                  <w:p>
                    <w:pPr>
                      <w:pStyle w:val="Contedodoquadro"/>
                      <w:spacing w:lineRule="auto" w:line="240" w:before="360" w:after="0"/>
                      <w:ind w:hanging="4" w:left="2"/>
                      <w:jc w:val="center"/>
                      <w:rPr>
                        <w:sz w:val="36"/>
                        <w:szCs w:val="36"/>
                      </w:rPr>
                    </w:pPr>
                    <w:r>
                      <w:rPr>
                        <w:rFonts w:eastAsia="Algerian" w:cs="Algerian" w:ascii="Algerian" w:hAnsi="Algerian"/>
                        <w:i/>
                        <w:color w:val="000000"/>
                        <w:sz w:val="36"/>
                        <w:szCs w:val="36"/>
                      </w:rPr>
                      <w:t>PREFEITURA MUNICIPAL DE BANDEIRANTES</w:t>
                    </w:r>
                  </w:p>
                  <w:p>
                    <w:pPr>
                      <w:pStyle w:val="Contedodoquadro"/>
                      <w:spacing w:lineRule="auto" w:line="240" w:before="120" w:after="0"/>
                      <w:ind w:hanging="3" w:left="1"/>
                      <w:jc w:val="center"/>
                      <w:rPr>
                        <w:sz w:val="28"/>
                        <w:szCs w:val="28"/>
                      </w:rPr>
                    </w:pPr>
                    <w:r>
                      <w:rPr>
                        <w:rFonts w:eastAsia="Algerian" w:cs="Algerian" w:ascii="Algerian" w:hAnsi="Algerian"/>
                        <w:i/>
                        <w:color w:val="000000"/>
                        <w:sz w:val="28"/>
                        <w:szCs w:val="28"/>
                      </w:rPr>
                      <w:t>ESTADO DO PARANÁ</w:t>
                    </w:r>
                  </w:p>
                  <w:p>
                    <w:pPr>
                      <w:pStyle w:val="Contedodoquadro"/>
                      <w:spacing w:lineRule="auto" w:line="240"/>
                      <w:ind w:hanging="2" w:left="0"/>
                      <w:rPr>
                        <w:color w:val="000000"/>
                      </w:rPr>
                    </w:pPr>
                    <w:r>
                      <w:rPr>
                        <w:color w:val="000000"/>
                      </w:rPr>
                    </w:r>
                  </w:p>
                </w:txbxContent>
              </v:textbox>
              <w10:wrap type="none"/>
            </v:rect>
          </w:pict>
        </mc:Fallback>
      </mc:AlternateContent>
      <mc:AlternateContent>
        <mc:Choice Requires="wps">
          <w:drawing>
            <wp:anchor behindDoc="1" distT="635" distB="0" distL="635" distR="0" simplePos="0" locked="0" layoutInCell="0" allowOverlap="1" relativeHeight="36">
              <wp:simplePos x="0" y="0"/>
              <wp:positionH relativeFrom="rightMargin">
                <wp:align>center</wp:align>
              </wp:positionH>
              <wp:positionV relativeFrom="margin">
                <wp:align>top</wp:align>
              </wp:positionV>
              <wp:extent cx="581025" cy="409575"/>
              <wp:effectExtent l="635" t="635" r="0" b="0"/>
              <wp:wrapNone/>
              <wp:docPr id="6" name="Seta para a Direita 16"/>
              <a:graphic xmlns:a="http://schemas.openxmlformats.org/drawingml/2006/main">
                <a:graphicData uri="http://schemas.microsoft.com/office/word/2010/wordprocessingShape">
                  <wps:wsp>
                    <wps:cNvSpPr/>
                    <wps:spPr>
                      <a:xfrm rot="10800000">
                        <a:off x="0" y="0"/>
                        <a:ext cx="581040" cy="409680"/>
                      </a:xfrm>
                      <a:prstGeom prst="rightArrow">
                        <a:avLst>
                          <a:gd name="adj1" fmla="val 50278"/>
                          <a:gd name="adj2" fmla="val 52482"/>
                        </a:avLst>
                      </a:prstGeom>
                      <a:solidFill>
                        <a:srgbClr val="c0504d"/>
                      </a:solidFill>
                      <a:ln w="0">
                        <a:noFill/>
                      </a:ln>
                    </wps:spPr>
                    <wps:style>
                      <a:lnRef idx="0"/>
                      <a:fillRef idx="0"/>
                      <a:effectRef idx="0"/>
                      <a:fontRef idx="minor"/>
                    </wps:style>
                    <wps:txbx>
                      <w:txbxContent>
                        <w:sdt>
                          <w:sdtPr>
                            <w:docPartObj>
                              <w:docPartGallery w:val="Page Numbers (Margins)"/>
                              <w:docPartUnique w:val="true"/>
                            </w:docPartObj>
                          </w:sdtPr>
                          <w:sdtContent>
                            <w:p>
                              <w:pPr>
                                <w:pStyle w:val="Footer"/>
                                <w:ind w:hanging="2" w:left="0"/>
                                <w:jc w:val="center"/>
                                <w:rPr>
                                  <w:color w:themeColor="background1" w:val="FFFFFF"/>
                                </w:rPr>
                              </w:pPr>
                              <w:r>
                                <w:rPr>
                                  <w:color w:themeColor="background1" w:val="FFFFFF"/>
                                </w:rPr>
                                <w:fldChar w:fldCharType="begin"/>
                              </w:r>
                              <w:r>
                                <w:rPr>
                                  <w:color w:themeColor="background1" w:val="FFFFFF"/>
                                </w:rPr>
                                <w:instrText xml:space="preserve"> PAGE </w:instrText>
                              </w:r>
                              <w:r>
                                <w:rPr>
                                  <w:color w:themeColor="background1" w:val="FFFFFF"/>
                                </w:rPr>
                                <w:fldChar w:fldCharType="separate"/>
                              </w:r>
                              <w:r>
                                <w:rPr>
                                  <w:color w:themeColor="background1" w:val="FFFFFF"/>
                                </w:rPr>
                                <w:t>7</w:t>
                              </w:r>
                              <w:r>
                                <w:rPr>
                                  <w:color w:themeColor="background1" w:val="FFFFFF"/>
                                </w:rPr>
                                <w:fldChar w:fldCharType="end"/>
                              </w:r>
                            </w:p>
                            <w:p>
                              <w:pPr>
                                <w:pStyle w:val="Contedodoquadro"/>
                                <w:ind w:hanging="2" w:left="0"/>
                                <w:rPr>
                                  <w:color w:val="000000"/>
                                </w:rPr>
                              </w:pPr>
                              <w:r>
                                <w:rPr>
                                  <w:color w:val="000000"/>
                                </w:rPr>
                              </w:r>
                            </w:p>
                          </w:sdtContent>
                        </w:sdt>
                      </w:txbxContent>
                    </wps:txbx>
                    <wps:bodyPr tIns="0" bIns="0" anchor="t">
                      <a:noAutofit/>
                    </wps:bodyPr>
                  </wps:wsp>
                </a:graphicData>
              </a:graphic>
            </wp:anchor>
          </w:drawing>
        </mc:Choice>
        <mc:Fallback>
          <w:pict>
            <v:shape id="shape_0" ID="Seta para a Direita 16" path="l-2147483635,-2147483631l-2147483635,0l-2147483622,-2147483632l-2147483635,-2147483623l-2147483635,-2147483629l0,-2147483629xe" fillcolor="#c0504d" stroked="f" o:allowincell="f" style="position:absolute;margin-left:-4.9pt;margin-top:0.05pt;width:45.7pt;height:32.2pt;mso-wrap-style:square;v-text-anchor:top;rotation:180;mso-position-horizontal:center;mso-position-horizontal-relative:page;mso-position-vertical:top;mso-position-vertical-relative:margin" type="_x0000_t13">
              <v:fill o:detectmouseclick="t" type="solid" color2="#3fafb2"/>
              <v:stroke color="#3465a4" joinstyle="round" endcap="flat"/>
              <v:textbox>
                <w:txbxContent>
                  <w:sdt>
                    <w:sdtPr>
                      <w:docPartObj>
                        <w:docPartGallery w:val="Page Numbers (Margins)"/>
                        <w:docPartUnique w:val="true"/>
                      </w:docPartObj>
                    </w:sdtPr>
                    <w:sdtContent>
                      <w:p>
                        <w:pPr>
                          <w:pStyle w:val="Footer"/>
                          <w:ind w:hanging="2" w:left="0"/>
                          <w:jc w:val="center"/>
                          <w:rPr>
                            <w:color w:themeColor="background1" w:val="FFFFFF"/>
                          </w:rPr>
                        </w:pPr>
                        <w:r>
                          <w:rPr>
                            <w:color w:themeColor="background1" w:val="FFFFFF"/>
                          </w:rPr>
                          <w:fldChar w:fldCharType="begin"/>
                        </w:r>
                        <w:r>
                          <w:rPr>
                            <w:color w:themeColor="background1" w:val="FFFFFF"/>
                          </w:rPr>
                          <w:instrText xml:space="preserve"> PAGE </w:instrText>
                        </w:r>
                        <w:r>
                          <w:rPr>
                            <w:color w:themeColor="background1" w:val="FFFFFF"/>
                          </w:rPr>
                          <w:fldChar w:fldCharType="separate"/>
                        </w:r>
                        <w:r>
                          <w:rPr>
                            <w:color w:themeColor="background1" w:val="FFFFFF"/>
                          </w:rPr>
                          <w:t>7</w:t>
                        </w:r>
                        <w:r>
                          <w:rPr>
                            <w:color w:themeColor="background1" w:val="FFFFFF"/>
                          </w:rPr>
                          <w:fldChar w:fldCharType="end"/>
                        </w:r>
                      </w:p>
                      <w:p>
                        <w:pPr>
                          <w:pStyle w:val="Contedodoquadro"/>
                          <w:ind w:hanging="2" w:left="0"/>
                          <w:rPr>
                            <w:color w:val="000000"/>
                          </w:rPr>
                        </w:pPr>
                        <w:r>
                          <w:rPr>
                            <w:color w:val="000000"/>
                          </w:rPr>
                        </w:r>
                      </w:p>
                    </w:sdtContent>
                  </w:sdt>
                </w:txbxContent>
              </v:textbox>
              <w10:wrap type="none"/>
            </v:shape>
          </w:pict>
        </mc:Fallback>
      </mc:AlternateContent>
    </w:r>
  </w:p>
  <w:p>
    <w:pPr>
      <w:pStyle w:val="Normal"/>
      <w:tabs>
        <w:tab w:val="clear" w:pos="720"/>
        <w:tab w:val="left" w:pos="12424" w:leader="none"/>
      </w:tabs>
      <w:spacing w:lineRule="auto" w:line="240"/>
      <w:ind w:hanging="2" w:left="0"/>
      <w:rPr>
        <w:color w:val="000000"/>
      </w:rPr>
    </w:pPr>
    <w:r>
      <w:rPr>
        <w:color w:val="000000"/>
      </w:rPr>
      <w:tab/>
      <w:tab/>
    </w:r>
  </w:p>
  <w:p>
    <w:pPr>
      <w:pStyle w:val="Normal"/>
      <w:tabs>
        <w:tab w:val="clear" w:pos="720"/>
        <w:tab w:val="left" w:pos="12424" w:leader="none"/>
      </w:tabs>
      <w:spacing w:lineRule="auto" w:line="240"/>
      <w:ind w:hanging="2" w:left="0"/>
      <w:rPr>
        <w:color w:val="000000"/>
      </w:rPr>
    </w:pPr>
    <w:r>
      <w:rPr>
        <w:color w:val="000000"/>
      </w:rPr>
    </w:r>
  </w:p>
  <w:p>
    <w:pPr>
      <w:pStyle w:val="Normal"/>
      <w:tabs>
        <w:tab w:val="clear" w:pos="720"/>
        <w:tab w:val="left" w:pos="12424" w:leader="none"/>
      </w:tabs>
      <w:spacing w:lineRule="auto" w:line="240"/>
      <w:ind w:hanging="2" w:left="0"/>
      <w:rPr>
        <w:color w:val="000000"/>
      </w:rPr>
    </w:pPr>
    <w:r>
      <w:rPr>
        <w:color w:val="000000"/>
      </w:rPr>
    </w:r>
  </w:p>
  <w:p>
    <w:pPr>
      <w:pStyle w:val="Normal"/>
      <w:tabs>
        <w:tab w:val="clear" w:pos="720"/>
        <w:tab w:val="left" w:pos="12424" w:leader="none"/>
      </w:tabs>
      <w:spacing w:lineRule="auto" w:line="240"/>
      <w:ind w:hanging="2" w:left="0"/>
      <w:rPr>
        <w:color w:val="000000"/>
      </w:rPr>
    </w:pPr>
    <w:r>
      <w:rPr>
        <w:color w:val="000000"/>
      </w:rPr>
    </w:r>
  </w:p>
  <w:p>
    <w:pPr>
      <w:pStyle w:val="Normal"/>
      <w:tabs>
        <w:tab w:val="clear" w:pos="720"/>
        <w:tab w:val="left" w:pos="12424" w:leader="none"/>
      </w:tabs>
      <w:spacing w:lineRule="auto" w:line="240"/>
      <w:ind w:hanging="2" w:left="0"/>
      <w:rPr>
        <w:color w:val="000000"/>
      </w:rPr>
    </w:pPr>
    <w:r>
      <w:rPr>
        <w:color w:val="000000"/>
      </w:rPr>
    </w:r>
  </w:p>
</w:hdr>
</file>

<file path=word/settings.xml><?xml version="1.0" encoding="utf-8"?>
<w:settings xmlns:w="http://schemas.openxmlformats.org/wordprocessingml/2006/main">
  <w:zoom w:percent="100"/>
  <w:defaultTabStop w:val="720"/>
  <w:autoHyphenation w:val="true"/>
  <w:hyphenationZone w:val="36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 w:val="24"/>
        <w:szCs w:val="24"/>
        <w:lang w:val="pt-BR" w:eastAsia="pt-BR"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b311e2"/>
    <w:pPr>
      <w:widowControl/>
      <w:suppressAutoHyphens w:val="true"/>
      <w:bidi w:val="0"/>
      <w:spacing w:lineRule="atLeast" w:line="1" w:before="0" w:after="0"/>
      <w:ind w:hanging="1" w:left="-1"/>
      <w:jc w:val="left"/>
      <w:textAlignment w:val="top"/>
      <w:outlineLvl w:val="0"/>
    </w:pPr>
    <w:rPr>
      <w:rFonts w:ascii="Times New Roman" w:hAnsi="Times New Roman" w:eastAsia="Times New Roman" w:cs="Times New Roman"/>
      <w:color w:val="auto"/>
      <w:kern w:val="0"/>
      <w:position w:val="-1"/>
      <w:sz w:val="24"/>
      <w:szCs w:val="24"/>
      <w:lang w:val="pt-BR" w:eastAsia="pt-BR" w:bidi="ar-SA"/>
    </w:rPr>
  </w:style>
  <w:style w:type="paragraph" w:styleId="Heading1">
    <w:name w:val="heading 1"/>
    <w:basedOn w:val="Normal"/>
    <w:next w:val="Normal"/>
    <w:qFormat/>
    <w:rsid w:val="00b311e2"/>
    <w:pPr>
      <w:keepNext w:val="true"/>
      <w:ind w:left="3969"/>
      <w:jc w:val="both"/>
    </w:pPr>
    <w:rPr>
      <w:b/>
      <w:szCs w:val="20"/>
      <w:u w:val="single"/>
    </w:rPr>
  </w:style>
  <w:style w:type="paragraph" w:styleId="Heading2">
    <w:name w:val="heading 2"/>
    <w:basedOn w:val="Normal"/>
    <w:next w:val="Normal"/>
    <w:qFormat/>
    <w:rsid w:val="00b311e2"/>
    <w:pPr>
      <w:keepNext w:val="true"/>
      <w:keepLines/>
      <w:spacing w:before="360" w:after="80"/>
      <w:outlineLvl w:val="1"/>
    </w:pPr>
    <w:rPr>
      <w:b/>
      <w:sz w:val="36"/>
      <w:szCs w:val="36"/>
    </w:rPr>
  </w:style>
  <w:style w:type="paragraph" w:styleId="Heading3">
    <w:name w:val="heading 3"/>
    <w:basedOn w:val="Normal"/>
    <w:next w:val="Normal"/>
    <w:qFormat/>
    <w:rsid w:val="00b311e2"/>
    <w:pPr>
      <w:keepNext w:val="true"/>
      <w:spacing w:before="240" w:after="60"/>
      <w:outlineLvl w:val="2"/>
    </w:pPr>
    <w:rPr>
      <w:rFonts w:ascii="Calibri Light" w:hAnsi="Calibri Light"/>
      <w:b/>
      <w:bCs/>
      <w:sz w:val="26"/>
      <w:szCs w:val="26"/>
    </w:rPr>
  </w:style>
  <w:style w:type="paragraph" w:styleId="Heading4">
    <w:name w:val="heading 4"/>
    <w:basedOn w:val="Normal"/>
    <w:next w:val="Normal"/>
    <w:qFormat/>
    <w:rsid w:val="00b311e2"/>
    <w:pPr>
      <w:keepNext w:val="true"/>
      <w:keepLines/>
      <w:spacing w:before="240" w:after="40"/>
      <w:outlineLvl w:val="3"/>
    </w:pPr>
    <w:rPr>
      <w:b/>
    </w:rPr>
  </w:style>
  <w:style w:type="paragraph" w:styleId="Heading5">
    <w:name w:val="heading 5"/>
    <w:basedOn w:val="Normal"/>
    <w:next w:val="Normal"/>
    <w:qFormat/>
    <w:rsid w:val="00b311e2"/>
    <w:pPr>
      <w:keepNext w:val="true"/>
      <w:keepLines/>
      <w:spacing w:before="220" w:after="40"/>
      <w:outlineLvl w:val="4"/>
    </w:pPr>
    <w:rPr>
      <w:b/>
      <w:sz w:val="22"/>
      <w:szCs w:val="22"/>
    </w:rPr>
  </w:style>
  <w:style w:type="paragraph" w:styleId="Heading6">
    <w:name w:val="heading 6"/>
    <w:basedOn w:val="Normal"/>
    <w:next w:val="Normal"/>
    <w:qFormat/>
    <w:rsid w:val="00b311e2"/>
    <w:pPr>
      <w:keepNext w:val="true"/>
      <w:keepLines/>
      <w:spacing w:before="200" w:after="40"/>
      <w:outlineLvl w:val="5"/>
    </w:pPr>
    <w:rPr>
      <w:b/>
      <w:sz w:val="20"/>
      <w:szCs w:val="20"/>
    </w:rPr>
  </w:style>
  <w:style w:type="character" w:styleId="DefaultParagraphFont" w:default="1">
    <w:name w:val="Default Paragraph Font"/>
    <w:uiPriority w:val="1"/>
    <w:semiHidden/>
    <w:unhideWhenUsed/>
    <w:qFormat/>
    <w:rPr/>
  </w:style>
  <w:style w:type="character" w:styleId="CabealhoChar" w:customStyle="1">
    <w:name w:val="Cabeçalho Char"/>
    <w:uiPriority w:val="99"/>
    <w:qFormat/>
    <w:rsid w:val="00b311e2"/>
    <w:rPr>
      <w:w w:val="100"/>
      <w:position w:val="0"/>
      <w:sz w:val="24"/>
      <w:sz w:val="24"/>
      <w:szCs w:val="24"/>
      <w:effect w:val="none"/>
      <w:vertAlign w:val="baseline"/>
      <w:em w:val="none"/>
    </w:rPr>
  </w:style>
  <w:style w:type="character" w:styleId="RodapChar" w:customStyle="1">
    <w:name w:val="Rodapé Char"/>
    <w:uiPriority w:val="99"/>
    <w:qFormat/>
    <w:rsid w:val="00b311e2"/>
    <w:rPr>
      <w:w w:val="100"/>
      <w:position w:val="0"/>
      <w:sz w:val="24"/>
      <w:sz w:val="24"/>
      <w:szCs w:val="24"/>
      <w:effect w:val="none"/>
      <w:vertAlign w:val="baseline"/>
      <w:em w:val="none"/>
    </w:rPr>
  </w:style>
  <w:style w:type="character" w:styleId="TextodebaloChar" w:customStyle="1">
    <w:name w:val="Texto de balão Char"/>
    <w:qFormat/>
    <w:rsid w:val="00b311e2"/>
    <w:rPr>
      <w:rFonts w:ascii="Segoe UI" w:hAnsi="Segoe UI" w:cs="Segoe UI"/>
      <w:w w:val="100"/>
      <w:position w:val="0"/>
      <w:sz w:val="18"/>
      <w:sz w:val="18"/>
      <w:szCs w:val="18"/>
      <w:effect w:val="none"/>
      <w:vertAlign w:val="baseline"/>
      <w:em w:val="none"/>
    </w:rPr>
  </w:style>
  <w:style w:type="character" w:styleId="Ttulo3Char" w:customStyle="1">
    <w:name w:val="Título 3 Char"/>
    <w:qFormat/>
    <w:rsid w:val="00b311e2"/>
    <w:rPr>
      <w:rFonts w:ascii="Calibri Light" w:hAnsi="Calibri Light" w:eastAsia="Times New Roman" w:cs="Times New Roman"/>
      <w:b/>
      <w:bCs/>
      <w:w w:val="100"/>
      <w:position w:val="0"/>
      <w:sz w:val="26"/>
      <w:sz w:val="26"/>
      <w:szCs w:val="26"/>
      <w:effect w:val="none"/>
      <w:vertAlign w:val="baseline"/>
      <w:em w:val="none"/>
    </w:rPr>
  </w:style>
  <w:style w:type="character" w:styleId="Recuodecorpodetexto3Char" w:customStyle="1">
    <w:name w:val="Recuo de corpo de texto 3 Char"/>
    <w:qFormat/>
    <w:rsid w:val="00b311e2"/>
    <w:rPr>
      <w:w w:val="100"/>
      <w:position w:val="0"/>
      <w:sz w:val="16"/>
      <w:sz w:val="16"/>
      <w:szCs w:val="16"/>
      <w:effect w:val="none"/>
      <w:vertAlign w:val="baseline"/>
      <w:em w:val="none"/>
    </w:rPr>
  </w:style>
  <w:style w:type="character" w:styleId="TextodenotaderodapChar" w:customStyle="1">
    <w:name w:val="Texto de nota de rodapé Char"/>
    <w:basedOn w:val="DefaultParagraphFont"/>
    <w:uiPriority w:val="99"/>
    <w:semiHidden/>
    <w:qFormat/>
    <w:rsid w:val="00663379"/>
    <w:rPr>
      <w:sz w:val="20"/>
      <w:szCs w:val="20"/>
      <w:vertAlign w:val="subscript"/>
    </w:rPr>
  </w:style>
  <w:style w:type="character" w:styleId="Caracteresdenotaderodap">
    <w:name w:val="Caracteres de nota de rodapé"/>
    <w:qFormat/>
    <w:rPr>
      <w:vertAlign w:val="superscript"/>
    </w:rPr>
  </w:style>
  <w:style w:type="character" w:styleId="FootnoteReference">
    <w:name w:val="footnote reference"/>
    <w:rPr>
      <w:vertAlign w:val="superscript"/>
    </w:rPr>
  </w:style>
  <w:style w:type="character" w:styleId="FootnoteCharacters">
    <w:name w:val="Footnote Characters"/>
    <w:basedOn w:val="DefaultParagraphFont"/>
    <w:uiPriority w:val="99"/>
    <w:semiHidden/>
    <w:unhideWhenUsed/>
    <w:qFormat/>
    <w:rsid w:val="00663379"/>
    <w:rPr>
      <w:vertAlign w:val="superscript"/>
    </w:rPr>
  </w:style>
  <w:style w:type="character" w:styleId="InternetLink">
    <w:name w:val="Internet Link"/>
    <w:basedOn w:val="DefaultParagraphFont"/>
    <w:uiPriority w:val="99"/>
    <w:unhideWhenUsed/>
    <w:qFormat/>
    <w:rsid w:val="009a22ee"/>
    <w:rPr>
      <w:color w:themeColor="hyperlink" w:val="0000FF"/>
      <w:u w:val="single"/>
    </w:rPr>
  </w:style>
  <w:style w:type="character" w:styleId="PageNumber">
    <w:name w:val="page number"/>
    <w:basedOn w:val="DefaultParagraphFont"/>
    <w:uiPriority w:val="99"/>
    <w:unhideWhenUsed/>
    <w:rsid w:val="004d740d"/>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Title">
    <w:name w:val="Title"/>
    <w:basedOn w:val="Normal"/>
    <w:next w:val="Normal"/>
    <w:qFormat/>
    <w:rsid w:val="00b311e2"/>
    <w:pPr>
      <w:keepNext w:val="true"/>
      <w:keepLines/>
      <w:spacing w:before="480" w:after="120"/>
    </w:pPr>
    <w:rPr>
      <w:b/>
      <w:sz w:val="72"/>
      <w:szCs w:val="72"/>
    </w:rPr>
  </w:style>
  <w:style w:type="paragraph" w:styleId="BodyTextIndented">
    <w:name w:val="Body Text, Indented"/>
    <w:basedOn w:val="Normal"/>
    <w:qFormat/>
    <w:rsid w:val="00b311e2"/>
    <w:pPr>
      <w:ind w:firstLine="3118" w:left="851"/>
      <w:jc w:val="both"/>
    </w:pPr>
    <w:rPr>
      <w:sz w:val="28"/>
      <w:szCs w:val="20"/>
    </w:rPr>
  </w:style>
  <w:style w:type="paragraph" w:styleId="BodyTextIndent2">
    <w:name w:val="Body Text Indent 2"/>
    <w:basedOn w:val="Normal"/>
    <w:qFormat/>
    <w:rsid w:val="00b311e2"/>
    <w:pPr>
      <w:ind w:firstLine="2889" w:left="1080"/>
      <w:jc w:val="both"/>
    </w:pPr>
    <w:rPr>
      <w:bCs/>
      <w:sz w:val="25"/>
      <w:szCs w:val="28"/>
    </w:rPr>
  </w:style>
  <w:style w:type="paragraph" w:styleId="CabealhoeRodap">
    <w:name w:val="Cabeçalho e Rodapé"/>
    <w:basedOn w:val="Normal"/>
    <w:qFormat/>
    <w:pPr/>
    <w:rPr/>
  </w:style>
  <w:style w:type="paragraph" w:styleId="Cabealhoerodap1">
    <w:name w:val="Cabeçalho e rodapé1"/>
    <w:basedOn w:val="Normal"/>
    <w:qFormat/>
    <w:pPr/>
    <w:rPr/>
  </w:style>
  <w:style w:type="paragraph" w:styleId="Header">
    <w:name w:val="header"/>
    <w:basedOn w:val="Normal"/>
    <w:uiPriority w:val="99"/>
    <w:qFormat/>
    <w:rsid w:val="00b311e2"/>
    <w:pPr>
      <w:tabs>
        <w:tab w:val="clear" w:pos="720"/>
        <w:tab w:val="center" w:pos="4252" w:leader="none"/>
        <w:tab w:val="right" w:pos="8504" w:leader="none"/>
      </w:tabs>
    </w:pPr>
    <w:rPr/>
  </w:style>
  <w:style w:type="paragraph" w:styleId="Footer">
    <w:name w:val="footer"/>
    <w:basedOn w:val="Normal"/>
    <w:uiPriority w:val="99"/>
    <w:qFormat/>
    <w:rsid w:val="00b311e2"/>
    <w:pPr>
      <w:tabs>
        <w:tab w:val="clear" w:pos="720"/>
        <w:tab w:val="center" w:pos="4252" w:leader="none"/>
        <w:tab w:val="right" w:pos="8504" w:leader="none"/>
      </w:tabs>
    </w:pPr>
    <w:rPr/>
  </w:style>
  <w:style w:type="paragraph" w:styleId="BalloonText">
    <w:name w:val="Balloon Text"/>
    <w:basedOn w:val="Normal"/>
    <w:qFormat/>
    <w:rsid w:val="00b311e2"/>
    <w:pPr/>
    <w:rPr>
      <w:rFonts w:ascii="Segoe UI" w:hAnsi="Segoe UI"/>
      <w:sz w:val="18"/>
      <w:szCs w:val="18"/>
    </w:rPr>
  </w:style>
  <w:style w:type="paragraph" w:styleId="BodyTextIndent3">
    <w:name w:val="Body Text Indent 3"/>
    <w:basedOn w:val="Normal"/>
    <w:qFormat/>
    <w:rsid w:val="00b311e2"/>
    <w:pPr>
      <w:spacing w:before="0" w:after="120"/>
      <w:ind w:left="283"/>
    </w:pPr>
    <w:rPr>
      <w:sz w:val="16"/>
      <w:szCs w:val="16"/>
    </w:rPr>
  </w:style>
  <w:style w:type="paragraph" w:styleId="Default" w:customStyle="1">
    <w:name w:val="Default"/>
    <w:qFormat/>
    <w:rsid w:val="00b311e2"/>
    <w:pPr>
      <w:widowControl/>
      <w:suppressAutoHyphens w:val="true"/>
      <w:bidi w:val="0"/>
      <w:spacing w:lineRule="atLeast" w:line="1" w:before="0" w:after="0"/>
      <w:ind w:hanging="1" w:left="-1"/>
      <w:jc w:val="left"/>
      <w:textAlignment w:val="top"/>
      <w:outlineLvl w:val="0"/>
    </w:pPr>
    <w:rPr>
      <w:rFonts w:ascii="Nyala" w:hAnsi="Nyala" w:eastAsia="Calibri" w:cs="Nyala"/>
      <w:color w:val="000000"/>
      <w:kern w:val="0"/>
      <w:position w:val="-1"/>
      <w:sz w:val="24"/>
      <w:szCs w:val="24"/>
      <w:lang w:val="pt-BR" w:eastAsia="en-US" w:bidi="ar-SA"/>
    </w:rPr>
  </w:style>
  <w:style w:type="paragraph" w:styleId="Subtitle">
    <w:name w:val="Subtitle"/>
    <w:basedOn w:val="Normal"/>
    <w:next w:val="Normal"/>
    <w:qFormat/>
    <w:rsid w:val="00b311e2"/>
    <w:pPr>
      <w:keepNext w:val="true"/>
      <w:keepLines/>
      <w:spacing w:before="360" w:after="80"/>
    </w:pPr>
    <w:rPr>
      <w:rFonts w:ascii="Georgia" w:hAnsi="Georgia" w:eastAsia="Georgia" w:cs="Georgia"/>
      <w:i/>
      <w:color w:val="666666"/>
      <w:sz w:val="48"/>
      <w:szCs w:val="48"/>
    </w:rPr>
  </w:style>
  <w:style w:type="paragraph" w:styleId="ListParagraph">
    <w:name w:val="List Paragraph"/>
    <w:basedOn w:val="Normal"/>
    <w:uiPriority w:val="34"/>
    <w:qFormat/>
    <w:rsid w:val="008c672b"/>
    <w:pPr>
      <w:spacing w:before="0" w:after="0"/>
      <w:ind w:left="720"/>
      <w:contextualSpacing/>
    </w:pPr>
    <w:rPr/>
  </w:style>
  <w:style w:type="paragraph" w:styleId="FootnoteText">
    <w:name w:val="footnote text"/>
    <w:basedOn w:val="Normal"/>
    <w:link w:val="TextodenotaderodapChar"/>
    <w:uiPriority w:val="99"/>
    <w:semiHidden/>
    <w:unhideWhenUsed/>
    <w:rsid w:val="00663379"/>
    <w:pPr>
      <w:spacing w:lineRule="auto" w:line="240"/>
    </w:pPr>
    <w:rPr>
      <w:sz w:val="20"/>
      <w:szCs w:val="20"/>
    </w:rPr>
  </w:style>
  <w:style w:type="paragraph" w:styleId="Contedodoquadro">
    <w:name w:val="Conteúdo do quadro"/>
    <w:basedOn w:val="Normal"/>
    <w:qFormat/>
    <w:pPr/>
    <w:rPr/>
  </w:style>
  <w:style w:type="numbering" w:styleId="Semlista" w:default="1">
    <w:name w:val="Sem lista"/>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rsid w:val="00b311e2"/>
    <w:tblPr>
      <w:tblCellMar>
        <w:top w:w="0" w:type="dxa"/>
        <w:left w:w="0" w:type="dxa"/>
        <w:bottom w:w="0" w:type="dxa"/>
        <w:right w:w="0" w:type="dxa"/>
      </w:tblCellMar>
    </w:tblPr>
  </w:style>
  <w:style w:type="table" w:customStyle="1" w:styleId="TableNormal1">
    <w:name w:val="Table Normal1"/>
    <w:rsid w:val="00b311e2"/>
    <w:tblPr>
      <w:tblCellMar>
        <w:top w:w="0" w:type="dxa"/>
        <w:left w:w="0" w:type="dxa"/>
        <w:bottom w:w="0" w:type="dxa"/>
        <w:right w:w="0" w:type="dxa"/>
      </w:tblCellMar>
    </w:tblPr>
  </w:style>
  <w:style w:type="table" w:styleId="Tabelacomgrade">
    <w:name w:val="Table Grid"/>
    <w:basedOn w:val="Tabelanormal"/>
    <w:uiPriority w:val="39"/>
    <w:rsid w:val="00704db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Relationship Id="rId12" Type="http://schemas.openxmlformats.org/officeDocument/2006/relationships/customXml" Target="../customXml/item2.xm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pitchFamily="0" charset="1"/>
        <a:ea typeface=""/>
        <a:cs typeface=""/>
      </a:majorFont>
      <a:minorFont>
        <a:latin typeface="Cambria"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roundtripDataSignature="AMtx7mhntcHSairM9QTtieFN58MAzFcMjw==">AMUW2mVPyfKu3KjpVqnlyxPlD3Xm43oYp56W6M3ymJ2HnoCJC9z84tNoTonBy/KwhAJFo55cON+xUxNW4VXnulePCDBUQDAcaOW98AGpIwCqz9YimtNyhxg=</go:docsCustomData>
</go:gDocsCustomXmlDataStorage>
</file>

<file path=customXml/itemProps1.xml><?xml version="1.0" encoding="utf-8"?>
<ds:datastoreItem xmlns:ds="http://schemas.openxmlformats.org/officeDocument/2006/customXml" ds:itemID="{3FF26B91-6E36-4660-B68B-2B2A15119490}">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33</TotalTime>
  <Application>LibreOffice/24.8.2.1$Windows_X86_64 LibreOffice_project/0f794b6e29741098670a3b95d60478a65d05ef13</Application>
  <AppVersion>15.0000</AppVersion>
  <Pages>7</Pages>
  <Words>2053</Words>
  <Characters>12874</Characters>
  <CharactersWithSpaces>14690</CharactersWithSpaces>
  <Paragraphs>275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2024-04-26T14:11:00Z</dcterms:created>
  <dc:creator>x</dc:creator>
  <dc:description/>
  <dc:language>pt-BR</dc:language>
  <cp:lastModifiedBy/>
  <cp:lastPrinted>2024-05-07T19:12:00Z</cp:lastPrinted>
  <dcterms:modified xsi:type="dcterms:W3CDTF">2024-10-23T08:47:58Z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file>